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50F3" w14:textId="77777777" w:rsidR="0035527E" w:rsidRDefault="0035527E">
      <w:pPr>
        <w:shd w:val="clear" w:color="auto" w:fill="FFFFFF"/>
        <w:jc w:val="center"/>
      </w:pPr>
      <w:r>
        <w:t>GROUPE DE PAIRS DE L'AMICALE CANEUM</w:t>
      </w:r>
    </w:p>
    <w:p w14:paraId="140F7AA2" w14:textId="77777777" w:rsidR="0035527E" w:rsidRDefault="0035527E"/>
    <w:p w14:paraId="30E0522C" w14:textId="77777777" w:rsidR="0035527E" w:rsidRDefault="0035527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</w:pPr>
      <w:r>
        <w:t xml:space="preserve">Compte rendu de la séance du </w:t>
      </w:r>
      <w:r w:rsidR="00061B3F">
        <w:t>14</w:t>
      </w:r>
      <w:r>
        <w:t>/0</w:t>
      </w:r>
      <w:r w:rsidR="00A77C5A">
        <w:t>5</w:t>
      </w:r>
      <w:r>
        <w:t>/2020</w:t>
      </w:r>
    </w:p>
    <w:p w14:paraId="28BD3A1A" w14:textId="77777777" w:rsidR="0035527E" w:rsidRDefault="0035527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</w:pPr>
      <w:r>
        <w:t xml:space="preserve">Secrétaire : Dr </w:t>
      </w:r>
      <w:r w:rsidR="00061B3F">
        <w:t>LABORN</w:t>
      </w:r>
      <w:r w:rsidR="00A77C5A">
        <w:t>E</w:t>
      </w:r>
    </w:p>
    <w:p w14:paraId="7E6AC24C" w14:textId="77777777" w:rsidR="0035527E" w:rsidRDefault="0035527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</w:pPr>
      <w:r>
        <w:t xml:space="preserve">Modérateur : Dr </w:t>
      </w:r>
      <w:r w:rsidR="00061B3F">
        <w:t>WERY HAMI</w:t>
      </w:r>
    </w:p>
    <w:p w14:paraId="60ACC90E" w14:textId="77777777" w:rsidR="0035527E" w:rsidRDefault="0035527E"/>
    <w:p w14:paraId="5FAA0A35" w14:textId="77777777" w:rsidR="0035527E" w:rsidRDefault="0035527E">
      <w:r>
        <w:rPr>
          <w:u w:val="single"/>
        </w:rPr>
        <w:t>1 - DOSSIERS PRESENTES PAR LE GROUPE :</w:t>
      </w:r>
    </w:p>
    <w:p w14:paraId="19567137" w14:textId="77777777" w:rsidR="0035527E" w:rsidRDefault="0035527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35527E" w14:paraId="1743ACB5" w14:textId="77777777">
        <w:tc>
          <w:tcPr>
            <w:tcW w:w="9212" w:type="dxa"/>
            <w:shd w:val="clear" w:color="auto" w:fill="auto"/>
          </w:tcPr>
          <w:p w14:paraId="24421C48" w14:textId="77777777" w:rsidR="0035527E" w:rsidRDefault="0035527E">
            <w:pPr>
              <w:jc w:val="both"/>
            </w:pPr>
            <w:r>
              <w:rPr>
                <w:b w:val="0"/>
              </w:rPr>
              <w:t>Dossier 1 :</w:t>
            </w:r>
          </w:p>
        </w:tc>
      </w:tr>
      <w:tr w:rsidR="0035527E" w14:paraId="16C4F415" w14:textId="77777777">
        <w:tc>
          <w:tcPr>
            <w:tcW w:w="9212" w:type="dxa"/>
            <w:shd w:val="clear" w:color="auto" w:fill="auto"/>
          </w:tcPr>
          <w:p w14:paraId="1A455839" w14:textId="77777777" w:rsidR="009E3B1A" w:rsidRDefault="00061B3F" w:rsidP="0000632B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Femme</w:t>
            </w:r>
            <w:r w:rsidR="004F34AA">
              <w:rPr>
                <w:b w:val="0"/>
              </w:rPr>
              <w:t xml:space="preserve"> 20 </w:t>
            </w:r>
            <w:r w:rsidR="00795F6F">
              <w:rPr>
                <w:b w:val="0"/>
              </w:rPr>
              <w:t>ans</w:t>
            </w:r>
            <w:r>
              <w:rPr>
                <w:b w:val="0"/>
              </w:rPr>
              <w:t xml:space="preserve"> malaise sans PC vue en téléconsultation, hypoacousie, acouphènes, 20 minutes</w:t>
            </w:r>
            <w:r w:rsidR="00CF598E">
              <w:rPr>
                <w:b w:val="0"/>
              </w:rPr>
              <w:t xml:space="preserve"> - conclusion : malaise </w:t>
            </w:r>
            <w:proofErr w:type="gramStart"/>
            <w:r w:rsidR="00CF598E">
              <w:rPr>
                <w:b w:val="0"/>
              </w:rPr>
              <w:t>vagal</w:t>
            </w:r>
            <w:r w:rsidR="00670B85">
              <w:rPr>
                <w:b w:val="0"/>
              </w:rPr>
              <w:t xml:space="preserve">  -</w:t>
            </w:r>
            <w:proofErr w:type="gramEnd"/>
            <w:r w:rsidR="00670B85">
              <w:rPr>
                <w:b w:val="0"/>
              </w:rPr>
              <w:t xml:space="preserve"> Pour un malaise vagal, examen clinique et un ECG - Quel bilan minimal pour ces malaises ?</w:t>
            </w:r>
          </w:p>
          <w:p w14:paraId="71564C95" w14:textId="77777777" w:rsidR="0000632B" w:rsidRDefault="0000632B" w:rsidP="0000632B">
            <w:pPr>
              <w:snapToGrid w:val="0"/>
              <w:jc w:val="both"/>
            </w:pPr>
          </w:p>
        </w:tc>
      </w:tr>
      <w:tr w:rsidR="0035527E" w14:paraId="1E128F05" w14:textId="77777777">
        <w:tc>
          <w:tcPr>
            <w:tcW w:w="9212" w:type="dxa"/>
            <w:shd w:val="clear" w:color="auto" w:fill="auto"/>
          </w:tcPr>
          <w:p w14:paraId="1CD47829" w14:textId="77777777" w:rsidR="0035527E" w:rsidRDefault="0035527E">
            <w:pPr>
              <w:jc w:val="both"/>
            </w:pPr>
            <w:r>
              <w:rPr>
                <w:b w:val="0"/>
              </w:rPr>
              <w:t>Dossier 2 :</w:t>
            </w:r>
          </w:p>
        </w:tc>
      </w:tr>
      <w:tr w:rsidR="0035527E" w14:paraId="2B8CC863" w14:textId="77777777">
        <w:tc>
          <w:tcPr>
            <w:tcW w:w="9212" w:type="dxa"/>
            <w:shd w:val="clear" w:color="auto" w:fill="auto"/>
          </w:tcPr>
          <w:p w14:paraId="4905694A" w14:textId="77777777" w:rsidR="00F47604" w:rsidRDefault="009159A3" w:rsidP="0000632B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Femme de 52 ans anxiété à la reprise du travail pour HTA et </w:t>
            </w:r>
            <w:proofErr w:type="spellStart"/>
            <w:r>
              <w:rPr>
                <w:b w:val="0"/>
              </w:rPr>
              <w:t>covid</w:t>
            </w:r>
            <w:proofErr w:type="spellEnd"/>
            <w:r>
              <w:rPr>
                <w:b w:val="0"/>
              </w:rPr>
              <w:t>. Mise sous Alprazolam et reprise de travail. HA</w:t>
            </w:r>
            <w:r w:rsidR="00F40973">
              <w:rPr>
                <w:b w:val="0"/>
              </w:rPr>
              <w:t>S</w:t>
            </w:r>
            <w:r>
              <w:rPr>
                <w:b w:val="0"/>
              </w:rPr>
              <w:t xml:space="preserve"> 27-06-2018 - Quelle place pour les benzodiazépines dans l'anxiété ?</w:t>
            </w:r>
          </w:p>
          <w:p w14:paraId="6FA517BE" w14:textId="77777777" w:rsidR="005C5A10" w:rsidRPr="0000632B" w:rsidRDefault="005C5A10" w:rsidP="0000632B">
            <w:pPr>
              <w:snapToGrid w:val="0"/>
              <w:jc w:val="both"/>
              <w:rPr>
                <w:b w:val="0"/>
              </w:rPr>
            </w:pPr>
          </w:p>
        </w:tc>
      </w:tr>
      <w:tr w:rsidR="0035527E" w14:paraId="69E9858E" w14:textId="77777777">
        <w:tc>
          <w:tcPr>
            <w:tcW w:w="9212" w:type="dxa"/>
            <w:shd w:val="clear" w:color="auto" w:fill="auto"/>
          </w:tcPr>
          <w:p w14:paraId="52F05B40" w14:textId="77777777" w:rsidR="0035527E" w:rsidRDefault="0035527E">
            <w:pPr>
              <w:jc w:val="both"/>
            </w:pPr>
            <w:r>
              <w:rPr>
                <w:b w:val="0"/>
              </w:rPr>
              <w:t>Dossier 3 :</w:t>
            </w:r>
          </w:p>
        </w:tc>
      </w:tr>
      <w:tr w:rsidR="0035527E" w14:paraId="6B8692D9" w14:textId="77777777">
        <w:tc>
          <w:tcPr>
            <w:tcW w:w="9212" w:type="dxa"/>
            <w:shd w:val="clear" w:color="auto" w:fill="auto"/>
          </w:tcPr>
          <w:p w14:paraId="3EB59A96" w14:textId="77777777" w:rsidR="009159A3" w:rsidRDefault="009159A3" w:rsidP="00061B3F">
            <w:pPr>
              <w:snapToGrid w:val="0"/>
              <w:jc w:val="both"/>
              <w:rPr>
                <w:b w:val="0"/>
              </w:rPr>
            </w:pPr>
            <w:r w:rsidRPr="009159A3">
              <w:rPr>
                <w:b w:val="0"/>
              </w:rPr>
              <w:t xml:space="preserve">Enfant, </w:t>
            </w:r>
            <w:r>
              <w:rPr>
                <w:b w:val="0"/>
              </w:rPr>
              <w:t xml:space="preserve">8 mois, </w:t>
            </w:r>
            <w:r w:rsidRPr="009159A3">
              <w:rPr>
                <w:b w:val="0"/>
              </w:rPr>
              <w:t>constipation avec "crottes de lapin"</w:t>
            </w:r>
            <w:r>
              <w:rPr>
                <w:b w:val="0"/>
              </w:rPr>
              <w:t xml:space="preserve">, pas de douleur, </w:t>
            </w:r>
            <w:proofErr w:type="gramStart"/>
            <w:r>
              <w:rPr>
                <w:b w:val="0"/>
              </w:rPr>
              <w:t>diversification ras</w:t>
            </w:r>
            <w:proofErr w:type="gramEnd"/>
            <w:r>
              <w:rPr>
                <w:b w:val="0"/>
              </w:rPr>
              <w:t xml:space="preserve"> avec un peu de reflux. Conseils alimentaires</w:t>
            </w:r>
          </w:p>
          <w:p w14:paraId="57F84BF3" w14:textId="77777777" w:rsidR="00C55196" w:rsidRPr="009159A3" w:rsidRDefault="009159A3" w:rsidP="00061B3F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</w:tr>
      <w:tr w:rsidR="0035527E" w14:paraId="70638277" w14:textId="77777777">
        <w:tc>
          <w:tcPr>
            <w:tcW w:w="9212" w:type="dxa"/>
            <w:shd w:val="clear" w:color="auto" w:fill="auto"/>
          </w:tcPr>
          <w:p w14:paraId="24BC8C6A" w14:textId="77777777" w:rsidR="0035527E" w:rsidRDefault="0035527E">
            <w:pPr>
              <w:jc w:val="both"/>
            </w:pPr>
            <w:r>
              <w:rPr>
                <w:b w:val="0"/>
              </w:rPr>
              <w:t>Dossier 4 :</w:t>
            </w:r>
          </w:p>
        </w:tc>
      </w:tr>
      <w:tr w:rsidR="0035527E" w14:paraId="517A01DF" w14:textId="77777777">
        <w:tc>
          <w:tcPr>
            <w:tcW w:w="9212" w:type="dxa"/>
            <w:shd w:val="clear" w:color="auto" w:fill="auto"/>
          </w:tcPr>
          <w:p w14:paraId="349105C5" w14:textId="77777777" w:rsidR="0034777C" w:rsidRDefault="00A335BD" w:rsidP="00061B3F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Femme de 26 ans, pour acné aggravé pendant le confinement, stérilet. Sur le visage, décolleté et le dos. Mise sous </w:t>
            </w:r>
            <w:proofErr w:type="spellStart"/>
            <w:r>
              <w:rPr>
                <w:b w:val="0"/>
              </w:rPr>
              <w:t>Tetracycline</w:t>
            </w:r>
            <w:proofErr w:type="spellEnd"/>
            <w:r>
              <w:rPr>
                <w:b w:val="0"/>
              </w:rPr>
              <w:t xml:space="preserve"> 100mg pendant 3 mois</w:t>
            </w:r>
            <w:r w:rsidR="00D95B21">
              <w:rPr>
                <w:b w:val="0"/>
              </w:rPr>
              <w:t>. Prescrire OK pour Doxycycline</w:t>
            </w:r>
            <w:r w:rsidR="00BB4B09">
              <w:rPr>
                <w:b w:val="0"/>
              </w:rPr>
              <w:t>. Petite efficacité sur l'acné (Prescrire)</w:t>
            </w:r>
          </w:p>
          <w:p w14:paraId="3A9717D4" w14:textId="77777777" w:rsidR="00A335BD" w:rsidRPr="0034777C" w:rsidRDefault="00A335BD" w:rsidP="00061B3F">
            <w:pPr>
              <w:snapToGrid w:val="0"/>
              <w:jc w:val="both"/>
              <w:rPr>
                <w:b w:val="0"/>
              </w:rPr>
            </w:pPr>
          </w:p>
        </w:tc>
      </w:tr>
      <w:tr w:rsidR="0035527E" w14:paraId="24E3AB20" w14:textId="77777777">
        <w:tc>
          <w:tcPr>
            <w:tcW w:w="9212" w:type="dxa"/>
            <w:shd w:val="clear" w:color="auto" w:fill="auto"/>
          </w:tcPr>
          <w:p w14:paraId="50A6AA64" w14:textId="77777777" w:rsidR="0035527E" w:rsidRDefault="0035527E">
            <w:pPr>
              <w:jc w:val="both"/>
            </w:pPr>
            <w:r>
              <w:rPr>
                <w:b w:val="0"/>
              </w:rPr>
              <w:t>Dossier 5 :</w:t>
            </w:r>
          </w:p>
        </w:tc>
      </w:tr>
      <w:tr w:rsidR="0035527E" w14:paraId="0F5D0FBE" w14:textId="77777777">
        <w:tc>
          <w:tcPr>
            <w:tcW w:w="9212" w:type="dxa"/>
            <w:shd w:val="clear" w:color="auto" w:fill="auto"/>
          </w:tcPr>
          <w:p w14:paraId="4D28BA93" w14:textId="77777777" w:rsidR="008907E8" w:rsidRDefault="008641BC" w:rsidP="00061B3F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Homme de 71 ans, HTA et sténose carotidienne stable, dysurie. Renouvellement de traitement. Intérêt du toucher rectal ?</w:t>
            </w:r>
          </w:p>
          <w:p w14:paraId="2E8A6BFA" w14:textId="77777777" w:rsidR="00D95B21" w:rsidRPr="0034777C" w:rsidRDefault="00D95B21" w:rsidP="00061B3F">
            <w:pPr>
              <w:snapToGrid w:val="0"/>
              <w:jc w:val="both"/>
              <w:rPr>
                <w:b w:val="0"/>
              </w:rPr>
            </w:pPr>
          </w:p>
        </w:tc>
      </w:tr>
      <w:tr w:rsidR="0035527E" w14:paraId="0D198825" w14:textId="77777777">
        <w:tc>
          <w:tcPr>
            <w:tcW w:w="9212" w:type="dxa"/>
            <w:shd w:val="clear" w:color="auto" w:fill="auto"/>
          </w:tcPr>
          <w:p w14:paraId="0031AF2A" w14:textId="77777777" w:rsidR="0035527E" w:rsidRDefault="0035527E">
            <w:pPr>
              <w:jc w:val="both"/>
            </w:pPr>
            <w:r>
              <w:rPr>
                <w:b w:val="0"/>
              </w:rPr>
              <w:t>Dossier 6 :</w:t>
            </w:r>
          </w:p>
        </w:tc>
      </w:tr>
      <w:tr w:rsidR="0035527E" w14:paraId="5B7B6583" w14:textId="77777777">
        <w:tc>
          <w:tcPr>
            <w:tcW w:w="9212" w:type="dxa"/>
            <w:shd w:val="clear" w:color="auto" w:fill="auto"/>
          </w:tcPr>
          <w:p w14:paraId="2788BB87" w14:textId="77777777" w:rsidR="00CC093F" w:rsidRDefault="00AB5527" w:rsidP="00061B3F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Homme de 59 ans, consultation demandée par l'employeur suite à une infection à </w:t>
            </w:r>
            <w:proofErr w:type="spellStart"/>
            <w:r>
              <w:rPr>
                <w:b w:val="0"/>
              </w:rPr>
              <w:t>Covid</w:t>
            </w:r>
            <w:proofErr w:type="spellEnd"/>
            <w:r>
              <w:rPr>
                <w:b w:val="0"/>
              </w:rPr>
              <w:t xml:space="preserve"> et PCR positif. Reprise possible</w:t>
            </w:r>
            <w:r w:rsidR="00930C92">
              <w:rPr>
                <w:b w:val="0"/>
              </w:rPr>
              <w:t xml:space="preserve"> - Discussion sur la rédaction des certificats de reprise du travail.</w:t>
            </w:r>
          </w:p>
          <w:p w14:paraId="438EE1DB" w14:textId="77777777" w:rsidR="008E6F8D" w:rsidRPr="00CC093F" w:rsidRDefault="008E6F8D" w:rsidP="00061B3F">
            <w:pPr>
              <w:snapToGrid w:val="0"/>
              <w:jc w:val="both"/>
              <w:rPr>
                <w:b w:val="0"/>
              </w:rPr>
            </w:pPr>
          </w:p>
        </w:tc>
      </w:tr>
      <w:tr w:rsidR="0035527E" w14:paraId="1251561C" w14:textId="77777777">
        <w:tc>
          <w:tcPr>
            <w:tcW w:w="9212" w:type="dxa"/>
            <w:shd w:val="clear" w:color="auto" w:fill="auto"/>
          </w:tcPr>
          <w:p w14:paraId="27F237BF" w14:textId="77777777" w:rsidR="0035527E" w:rsidRDefault="0035527E">
            <w:pPr>
              <w:jc w:val="both"/>
            </w:pPr>
            <w:r>
              <w:rPr>
                <w:b w:val="0"/>
              </w:rPr>
              <w:t>Dossier 7 :</w:t>
            </w:r>
          </w:p>
        </w:tc>
      </w:tr>
      <w:tr w:rsidR="0035527E" w14:paraId="2A89DF39" w14:textId="77777777">
        <w:tc>
          <w:tcPr>
            <w:tcW w:w="9212" w:type="dxa"/>
            <w:shd w:val="clear" w:color="auto" w:fill="auto"/>
          </w:tcPr>
          <w:p w14:paraId="55611ABB" w14:textId="77777777" w:rsidR="00E24529" w:rsidRDefault="000D0585" w:rsidP="00061B3F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Homme de 44 ans, douleur coude droit et éruption sur l'</w:t>
            </w:r>
            <w:proofErr w:type="spellStart"/>
            <w:r>
              <w:rPr>
                <w:b w:val="0"/>
              </w:rPr>
              <w:t>avant bras</w:t>
            </w:r>
            <w:proofErr w:type="spellEnd"/>
            <w:r>
              <w:rPr>
                <w:b w:val="0"/>
              </w:rPr>
              <w:t xml:space="preserve">, PPA traitée et maladie de </w:t>
            </w:r>
            <w:proofErr w:type="spellStart"/>
            <w:r>
              <w:rPr>
                <w:b w:val="0"/>
              </w:rPr>
              <w:t>Crohn</w:t>
            </w:r>
            <w:proofErr w:type="spellEnd"/>
            <w:r>
              <w:rPr>
                <w:b w:val="0"/>
              </w:rPr>
              <w:t xml:space="preserve"> sous </w:t>
            </w:r>
            <w:proofErr w:type="spellStart"/>
            <w:r>
              <w:rPr>
                <w:b w:val="0"/>
              </w:rPr>
              <w:t>Pentasa</w:t>
            </w:r>
            <w:proofErr w:type="spellEnd"/>
            <w:r>
              <w:rPr>
                <w:b w:val="0"/>
              </w:rPr>
              <w:t xml:space="preserve"> - Hygroma et </w:t>
            </w:r>
            <w:r w:rsidR="00F7709A">
              <w:rPr>
                <w:b w:val="0"/>
              </w:rPr>
              <w:t>z</w:t>
            </w:r>
            <w:r>
              <w:rPr>
                <w:b w:val="0"/>
              </w:rPr>
              <w:t xml:space="preserve">ona traité par </w:t>
            </w:r>
            <w:proofErr w:type="spellStart"/>
            <w:r>
              <w:rPr>
                <w:b w:val="0"/>
              </w:rPr>
              <w:t>Zelitrex</w:t>
            </w:r>
            <w:proofErr w:type="spellEnd"/>
          </w:p>
          <w:p w14:paraId="094B585F" w14:textId="77777777" w:rsidR="008E6F8D" w:rsidRPr="00E24529" w:rsidRDefault="008E6F8D" w:rsidP="00061B3F">
            <w:pPr>
              <w:snapToGrid w:val="0"/>
              <w:jc w:val="both"/>
              <w:rPr>
                <w:b w:val="0"/>
              </w:rPr>
            </w:pPr>
          </w:p>
        </w:tc>
      </w:tr>
      <w:tr w:rsidR="0035527E" w14:paraId="2CF61650" w14:textId="77777777">
        <w:tc>
          <w:tcPr>
            <w:tcW w:w="9212" w:type="dxa"/>
            <w:shd w:val="clear" w:color="auto" w:fill="auto"/>
          </w:tcPr>
          <w:p w14:paraId="064555B8" w14:textId="77777777" w:rsidR="0035527E" w:rsidRDefault="0035527E">
            <w:pPr>
              <w:jc w:val="both"/>
            </w:pPr>
            <w:r>
              <w:rPr>
                <w:b w:val="0"/>
              </w:rPr>
              <w:t>Dossier 8 :</w:t>
            </w:r>
          </w:p>
        </w:tc>
      </w:tr>
      <w:tr w:rsidR="0035527E" w14:paraId="599EF253" w14:textId="77777777">
        <w:tc>
          <w:tcPr>
            <w:tcW w:w="9212" w:type="dxa"/>
            <w:shd w:val="clear" w:color="auto" w:fill="auto"/>
          </w:tcPr>
          <w:p w14:paraId="77C2C3D1" w14:textId="77777777" w:rsidR="001E495A" w:rsidRDefault="00A0118F" w:rsidP="00061B3F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Homme de 58 ans en suspension de travail du fait de l'épidémie, traitement épileptique pour épilepsie post-traumatique. Renouvellement du </w:t>
            </w:r>
            <w:proofErr w:type="spellStart"/>
            <w:r>
              <w:rPr>
                <w:b w:val="0"/>
              </w:rPr>
              <w:t>Tegretol</w:t>
            </w:r>
            <w:proofErr w:type="spellEnd"/>
            <w:r w:rsidR="00B9769A">
              <w:rPr>
                <w:b w:val="0"/>
              </w:rPr>
              <w:t>. Bilan cardiaque pour escalade</w:t>
            </w:r>
            <w:r w:rsidR="00776A8C">
              <w:rPr>
                <w:b w:val="0"/>
              </w:rPr>
              <w:t xml:space="preserve"> réalisé mais aucun résultat disponible</w:t>
            </w:r>
          </w:p>
          <w:p w14:paraId="05DF1114" w14:textId="77777777" w:rsidR="008E6F8D" w:rsidRPr="00E24529" w:rsidRDefault="008E6F8D" w:rsidP="00061B3F">
            <w:pPr>
              <w:snapToGrid w:val="0"/>
              <w:jc w:val="both"/>
              <w:rPr>
                <w:b w:val="0"/>
              </w:rPr>
            </w:pPr>
          </w:p>
        </w:tc>
      </w:tr>
      <w:tr w:rsidR="0035527E" w14:paraId="77BA13EF" w14:textId="77777777">
        <w:tc>
          <w:tcPr>
            <w:tcW w:w="9212" w:type="dxa"/>
            <w:shd w:val="clear" w:color="auto" w:fill="auto"/>
          </w:tcPr>
          <w:p w14:paraId="41C32D9F" w14:textId="77777777" w:rsidR="0035527E" w:rsidRDefault="0035527E">
            <w:pPr>
              <w:jc w:val="both"/>
            </w:pPr>
            <w:r>
              <w:rPr>
                <w:b w:val="0"/>
              </w:rPr>
              <w:lastRenderedPageBreak/>
              <w:t>Dossier 9 :</w:t>
            </w:r>
          </w:p>
        </w:tc>
      </w:tr>
      <w:tr w:rsidR="0035527E" w14:paraId="75F570B3" w14:textId="77777777">
        <w:tc>
          <w:tcPr>
            <w:tcW w:w="9212" w:type="dxa"/>
            <w:shd w:val="clear" w:color="auto" w:fill="auto"/>
          </w:tcPr>
          <w:p w14:paraId="389BBC99" w14:textId="77777777" w:rsidR="00475A80" w:rsidRDefault="000212DA" w:rsidP="00061B3F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Femme de 29 ans, institutrice, rachitisme </w:t>
            </w:r>
            <w:proofErr w:type="spellStart"/>
            <w:r>
              <w:rPr>
                <w:b w:val="0"/>
              </w:rPr>
              <w:t>vitamino</w:t>
            </w:r>
            <w:proofErr w:type="spellEnd"/>
            <w:r>
              <w:rPr>
                <w:b w:val="0"/>
              </w:rPr>
              <w:t xml:space="preserve">-résistant, en cours de PMA. Syndrome dépressif traité par </w:t>
            </w:r>
            <w:proofErr w:type="spellStart"/>
            <w:r>
              <w:rPr>
                <w:b w:val="0"/>
              </w:rPr>
              <w:t>Sertraline</w:t>
            </w:r>
            <w:proofErr w:type="spellEnd"/>
            <w:r>
              <w:rPr>
                <w:b w:val="0"/>
              </w:rPr>
              <w:t xml:space="preserve"> depuis 1 mois. Amélioration, reprise de travail, céphalées fréquentes. Changement du traitement pour Seropram 20. Réévaluation dans 1 mois. HAS sur changement ou augmentation : à revoir à 4-6 semaines après instauration pour augmentation ou changement de molécule.</w:t>
            </w:r>
          </w:p>
          <w:p w14:paraId="499F0E53" w14:textId="77777777" w:rsidR="008E6F8D" w:rsidRDefault="008E6F8D" w:rsidP="00061B3F">
            <w:pPr>
              <w:snapToGrid w:val="0"/>
              <w:jc w:val="both"/>
              <w:rPr>
                <w:b w:val="0"/>
              </w:rPr>
            </w:pPr>
          </w:p>
        </w:tc>
      </w:tr>
      <w:tr w:rsidR="008208C0" w14:paraId="3F33AEFF" w14:textId="77777777">
        <w:tc>
          <w:tcPr>
            <w:tcW w:w="9212" w:type="dxa"/>
            <w:shd w:val="clear" w:color="auto" w:fill="auto"/>
          </w:tcPr>
          <w:p w14:paraId="63F1681B" w14:textId="77777777" w:rsidR="008208C0" w:rsidRPr="008208C0" w:rsidRDefault="008208C0" w:rsidP="008208C0">
            <w:pPr>
              <w:jc w:val="both"/>
              <w:rPr>
                <w:b w:val="0"/>
              </w:rPr>
            </w:pPr>
            <w:r>
              <w:rPr>
                <w:b w:val="0"/>
              </w:rPr>
              <w:t>Dossier 10 :</w:t>
            </w:r>
          </w:p>
        </w:tc>
      </w:tr>
      <w:tr w:rsidR="008208C0" w14:paraId="1508F37F" w14:textId="77777777">
        <w:tc>
          <w:tcPr>
            <w:tcW w:w="9212" w:type="dxa"/>
            <w:shd w:val="clear" w:color="auto" w:fill="auto"/>
          </w:tcPr>
          <w:p w14:paraId="3CCD48A6" w14:textId="77777777" w:rsidR="001E495A" w:rsidRDefault="001A2DE9" w:rsidP="00061B3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Femme de 57 ans, épigastralgies récentes, antécédent de Basedow, </w:t>
            </w:r>
            <w:proofErr w:type="spellStart"/>
            <w:r>
              <w:rPr>
                <w:b w:val="0"/>
              </w:rPr>
              <w:t>covid</w:t>
            </w:r>
            <w:proofErr w:type="spellEnd"/>
            <w:r>
              <w:rPr>
                <w:b w:val="0"/>
              </w:rPr>
              <w:t xml:space="preserve"> en mars 2020. Traitement symptomatique par </w:t>
            </w:r>
            <w:proofErr w:type="spellStart"/>
            <w:r>
              <w:rPr>
                <w:b w:val="0"/>
              </w:rPr>
              <w:t>Omeprazole</w:t>
            </w:r>
            <w:proofErr w:type="spellEnd"/>
            <w:r>
              <w:rPr>
                <w:b w:val="0"/>
              </w:rPr>
              <w:t xml:space="preserve"> 20 mg pendant 14 jours</w:t>
            </w:r>
            <w:r w:rsidR="00F0171E">
              <w:rPr>
                <w:b w:val="0"/>
              </w:rPr>
              <w:t xml:space="preserve"> et antispasmodique</w:t>
            </w:r>
            <w:r>
              <w:rPr>
                <w:b w:val="0"/>
              </w:rPr>
              <w:t>, bilan sanguin TSH effondrée, reprise du Basedow</w:t>
            </w:r>
            <w:r w:rsidR="00F0171E">
              <w:rPr>
                <w:b w:val="0"/>
              </w:rPr>
              <w:t>. Traitement symptomatique par IPP ?</w:t>
            </w:r>
            <w:r w:rsidR="00B345B8">
              <w:rPr>
                <w:b w:val="0"/>
              </w:rPr>
              <w:t xml:space="preserve"> </w:t>
            </w:r>
            <w:proofErr w:type="spellStart"/>
            <w:r w:rsidR="00B345B8">
              <w:rPr>
                <w:b w:val="0"/>
              </w:rPr>
              <w:t>Pneumoptahie</w:t>
            </w:r>
            <w:proofErr w:type="spellEnd"/>
            <w:r w:rsidR="00B345B8">
              <w:rPr>
                <w:b w:val="0"/>
              </w:rPr>
              <w:t xml:space="preserve"> sous IPP : risque de 4 dans la première semaine de traitement et reste significatif dans les premiers mois de traitement</w:t>
            </w:r>
          </w:p>
          <w:p w14:paraId="2A68E43E" w14:textId="77777777" w:rsidR="008E6F8D" w:rsidRPr="008208C0" w:rsidRDefault="008E6F8D" w:rsidP="00061B3F">
            <w:pPr>
              <w:jc w:val="both"/>
              <w:rPr>
                <w:b w:val="0"/>
              </w:rPr>
            </w:pPr>
          </w:p>
        </w:tc>
      </w:tr>
      <w:tr w:rsidR="001A2DE9" w14:paraId="17BE5401" w14:textId="77777777">
        <w:tc>
          <w:tcPr>
            <w:tcW w:w="9212" w:type="dxa"/>
            <w:shd w:val="clear" w:color="auto" w:fill="auto"/>
          </w:tcPr>
          <w:p w14:paraId="137201DE" w14:textId="77777777" w:rsidR="001A2DE9" w:rsidRPr="008208C0" w:rsidRDefault="001A2DE9">
            <w:pPr>
              <w:jc w:val="both"/>
              <w:rPr>
                <w:b w:val="0"/>
              </w:rPr>
            </w:pPr>
            <w:r>
              <w:rPr>
                <w:b w:val="0"/>
              </w:rPr>
              <w:t>Dossier 11 :</w:t>
            </w:r>
          </w:p>
        </w:tc>
      </w:tr>
      <w:tr w:rsidR="001A2DE9" w14:paraId="774D3255" w14:textId="77777777">
        <w:tc>
          <w:tcPr>
            <w:tcW w:w="9212" w:type="dxa"/>
            <w:shd w:val="clear" w:color="auto" w:fill="auto"/>
          </w:tcPr>
          <w:p w14:paraId="7BA9603C" w14:textId="77777777" w:rsidR="001A2DE9" w:rsidRDefault="0021363F">
            <w:pPr>
              <w:jc w:val="both"/>
              <w:rPr>
                <w:b w:val="0"/>
              </w:rPr>
            </w:pPr>
            <w:r>
              <w:rPr>
                <w:b w:val="0"/>
              </w:rPr>
              <w:t>Femme de 66 ans, Dépressive sous Venlafaxine 37,5mg</w:t>
            </w:r>
          </w:p>
          <w:p w14:paraId="2BDDCEA4" w14:textId="77777777" w:rsidR="00F0171E" w:rsidRPr="008208C0" w:rsidRDefault="00F0171E">
            <w:pPr>
              <w:jc w:val="both"/>
              <w:rPr>
                <w:b w:val="0"/>
              </w:rPr>
            </w:pPr>
          </w:p>
        </w:tc>
      </w:tr>
      <w:tr w:rsidR="001A2DE9" w14:paraId="39632BF7" w14:textId="77777777">
        <w:tc>
          <w:tcPr>
            <w:tcW w:w="9212" w:type="dxa"/>
            <w:shd w:val="clear" w:color="auto" w:fill="auto"/>
          </w:tcPr>
          <w:p w14:paraId="6790CF07" w14:textId="77777777" w:rsidR="001A2DE9" w:rsidRPr="008208C0" w:rsidRDefault="004C4731">
            <w:pPr>
              <w:jc w:val="both"/>
              <w:rPr>
                <w:b w:val="0"/>
              </w:rPr>
            </w:pPr>
            <w:r>
              <w:rPr>
                <w:b w:val="0"/>
              </w:rPr>
              <w:t>Dossier 12 :</w:t>
            </w:r>
          </w:p>
        </w:tc>
      </w:tr>
      <w:tr w:rsidR="001A2DE9" w14:paraId="16A4FCCE" w14:textId="77777777">
        <w:tc>
          <w:tcPr>
            <w:tcW w:w="9212" w:type="dxa"/>
            <w:shd w:val="clear" w:color="auto" w:fill="auto"/>
          </w:tcPr>
          <w:p w14:paraId="2C9A7634" w14:textId="77777777" w:rsidR="001A2DE9" w:rsidRDefault="0070596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Homme de 44 ans, plaie du 5ème doigt, refus de passage aux urgences, vu à distance, lambeau cutané. </w:t>
            </w:r>
            <w:r w:rsidR="008D64D5">
              <w:rPr>
                <w:b w:val="0"/>
              </w:rPr>
              <w:t xml:space="preserve">Outil sale et lavage difficile donc mise sous antibiotique. </w:t>
            </w:r>
            <w:r>
              <w:rPr>
                <w:b w:val="0"/>
              </w:rPr>
              <w:t>ATB si besoin 5 jours et si signes locaux 7 jours.</w:t>
            </w:r>
          </w:p>
          <w:p w14:paraId="3CB569B4" w14:textId="77777777" w:rsidR="00F0171E" w:rsidRPr="008208C0" w:rsidRDefault="00F0171E">
            <w:pPr>
              <w:jc w:val="both"/>
              <w:rPr>
                <w:b w:val="0"/>
              </w:rPr>
            </w:pPr>
          </w:p>
        </w:tc>
      </w:tr>
      <w:tr w:rsidR="0035527E" w14:paraId="0A6B3D88" w14:textId="77777777">
        <w:tc>
          <w:tcPr>
            <w:tcW w:w="9212" w:type="dxa"/>
            <w:shd w:val="clear" w:color="auto" w:fill="auto"/>
          </w:tcPr>
          <w:p w14:paraId="52831937" w14:textId="77777777" w:rsidR="0035527E" w:rsidRPr="008208C0" w:rsidRDefault="0035527E">
            <w:pPr>
              <w:jc w:val="both"/>
              <w:rPr>
                <w:b w:val="0"/>
              </w:rPr>
            </w:pPr>
          </w:p>
        </w:tc>
      </w:tr>
      <w:tr w:rsidR="0035527E" w14:paraId="3E160560" w14:textId="77777777">
        <w:tc>
          <w:tcPr>
            <w:tcW w:w="9212" w:type="dxa"/>
            <w:shd w:val="clear" w:color="auto" w:fill="auto"/>
          </w:tcPr>
          <w:p w14:paraId="4F24491F" w14:textId="77777777" w:rsidR="0035527E" w:rsidRDefault="0035527E">
            <w:pPr>
              <w:jc w:val="both"/>
            </w:pPr>
            <w:r>
              <w:rPr>
                <w:b w:val="0"/>
              </w:rPr>
              <w:t xml:space="preserve">Question(s) à traiter : </w:t>
            </w:r>
          </w:p>
        </w:tc>
      </w:tr>
      <w:tr w:rsidR="0035527E" w14:paraId="3A37FF6E" w14:textId="77777777">
        <w:tc>
          <w:tcPr>
            <w:tcW w:w="9212" w:type="dxa"/>
            <w:shd w:val="clear" w:color="auto" w:fill="auto"/>
          </w:tcPr>
          <w:p w14:paraId="6DD908EB" w14:textId="77777777" w:rsidR="0035527E" w:rsidRPr="00CB030F" w:rsidRDefault="00F40973" w:rsidP="00775B8E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Quels sont les risques pour l'enfant des traitements anti-dépresseurs chez la femme enceinte ?</w:t>
            </w:r>
            <w:r w:rsidR="00775B8E">
              <w:rPr>
                <w:b w:val="0"/>
              </w:rPr>
              <w:t xml:space="preserve"> Quel choix d'anti-dépresseur ? Rapport bénéfice / risque des traitements anti-dépress</w:t>
            </w:r>
            <w:r w:rsidR="00D17391">
              <w:rPr>
                <w:b w:val="0"/>
              </w:rPr>
              <w:t>eurs</w:t>
            </w:r>
            <w:r w:rsidR="00775B8E">
              <w:rPr>
                <w:b w:val="0"/>
              </w:rPr>
              <w:t xml:space="preserve"> chez la femme enceinte ?</w:t>
            </w:r>
          </w:p>
        </w:tc>
      </w:tr>
      <w:tr w:rsidR="0035527E" w14:paraId="1CE82AF1" w14:textId="77777777">
        <w:tc>
          <w:tcPr>
            <w:tcW w:w="9212" w:type="dxa"/>
            <w:shd w:val="clear" w:color="auto" w:fill="auto"/>
          </w:tcPr>
          <w:p w14:paraId="114EF3B5" w14:textId="77777777" w:rsidR="0035527E" w:rsidRDefault="0035527E">
            <w:pPr>
              <w:snapToGrid w:val="0"/>
              <w:jc w:val="both"/>
              <w:rPr>
                <w:b w:val="0"/>
              </w:rPr>
            </w:pPr>
          </w:p>
        </w:tc>
      </w:tr>
    </w:tbl>
    <w:p w14:paraId="11C41E45" w14:textId="77777777" w:rsidR="0035527E" w:rsidRDefault="0035527E"/>
    <w:p w14:paraId="2BC9F1D1" w14:textId="77777777" w:rsidR="0035527E" w:rsidRDefault="0035527E">
      <w:pPr>
        <w:rPr>
          <w:b w:val="0"/>
        </w:rPr>
      </w:pPr>
      <w:r>
        <w:rPr>
          <w:u w:val="single"/>
        </w:rPr>
        <w:t>2 - REPONSES A LA QUESTION POSEE LORS DE LA SEANCE PRECEDENTE :</w:t>
      </w:r>
    </w:p>
    <w:p w14:paraId="7D4EB3F7" w14:textId="38426D11" w:rsidR="0035527E" w:rsidRDefault="00EC2B0C">
      <w:pPr>
        <w:rPr>
          <w:b w:val="0"/>
        </w:rPr>
      </w:pPr>
      <w:r>
        <w:rPr>
          <w:b w:val="0"/>
        </w:rPr>
        <w:t xml:space="preserve">Liste des médicaments </w:t>
      </w:r>
      <w:r w:rsidR="00D17391">
        <w:rPr>
          <w:b w:val="0"/>
        </w:rPr>
        <w:t>en annexe 1</w:t>
      </w:r>
    </w:p>
    <w:p w14:paraId="675EFDAA" w14:textId="433C7040" w:rsidR="00A57591" w:rsidRDefault="00A57591">
      <w:pPr>
        <w:rPr>
          <w:b w:val="0"/>
        </w:rPr>
      </w:pPr>
      <w:r>
        <w:rPr>
          <w:b w:val="0"/>
        </w:rPr>
        <w:t>Article Prescrire en annexe 3</w:t>
      </w:r>
    </w:p>
    <w:p w14:paraId="4F5B1127" w14:textId="77777777" w:rsidR="00D17391" w:rsidRDefault="00D17391">
      <w:pPr>
        <w:rPr>
          <w:b w:val="0"/>
        </w:rPr>
      </w:pPr>
    </w:p>
    <w:p w14:paraId="73ADD9E9" w14:textId="19EA7916" w:rsidR="00EC2B0C" w:rsidRDefault="00EC2B0C">
      <w:pPr>
        <w:rPr>
          <w:bCs/>
          <w:i/>
          <w:iCs/>
        </w:rPr>
      </w:pPr>
      <w:r w:rsidRPr="00D17391">
        <w:rPr>
          <w:bCs/>
          <w:i/>
          <w:iCs/>
        </w:rPr>
        <w:t>Si antécédent personnel ou familial de syncope ou 2 médicaments avec allongement de QT</w:t>
      </w:r>
      <w:r w:rsidR="00D17391" w:rsidRPr="00D17391">
        <w:rPr>
          <w:bCs/>
          <w:i/>
          <w:iCs/>
        </w:rPr>
        <w:t xml:space="preserve"> faire ECG</w:t>
      </w:r>
    </w:p>
    <w:p w14:paraId="533408EC" w14:textId="32E8B959" w:rsidR="009944A5" w:rsidRPr="00D17391" w:rsidRDefault="009944A5">
      <w:pPr>
        <w:rPr>
          <w:bCs/>
          <w:i/>
          <w:iCs/>
        </w:rPr>
      </w:pPr>
      <w:r>
        <w:rPr>
          <w:bCs/>
          <w:i/>
          <w:iCs/>
        </w:rPr>
        <w:t>Contrôle soit avant traitement, soit dans les 7 jours qui suivent le début du traitement</w:t>
      </w:r>
    </w:p>
    <w:p w14:paraId="6F8DAA31" w14:textId="77777777" w:rsidR="00D17391" w:rsidRDefault="00D17391">
      <w:pPr>
        <w:rPr>
          <w:b w:val="0"/>
        </w:rPr>
      </w:pPr>
    </w:p>
    <w:p w14:paraId="28C6FF08" w14:textId="77777777" w:rsidR="00EC2B0C" w:rsidRDefault="00EC2B0C">
      <w:pPr>
        <w:rPr>
          <w:b w:val="0"/>
        </w:rPr>
      </w:pPr>
      <w:r>
        <w:rPr>
          <w:b w:val="0"/>
        </w:rPr>
        <w:t>Association des maladies héréditaire du rythme cardiaque</w:t>
      </w:r>
    </w:p>
    <w:p w14:paraId="753298AA" w14:textId="77777777" w:rsidR="00670B85" w:rsidRDefault="00670B85">
      <w:pPr>
        <w:rPr>
          <w:b w:val="0"/>
        </w:rPr>
      </w:pPr>
    </w:p>
    <w:p w14:paraId="3117ABE4" w14:textId="77777777" w:rsidR="00B74B1B" w:rsidRDefault="00B74B1B">
      <w:pPr>
        <w:rPr>
          <w:b w:val="0"/>
        </w:rPr>
      </w:pPr>
    </w:p>
    <w:p w14:paraId="742A26A9" w14:textId="77777777" w:rsidR="0035527E" w:rsidRDefault="0035527E">
      <w:pPr>
        <w:rPr>
          <w:u w:val="single"/>
        </w:rPr>
      </w:pPr>
      <w:r>
        <w:rPr>
          <w:u w:val="single"/>
        </w:rPr>
        <w:t xml:space="preserve">3 - REFERENCES BIBLIOGRAPHIQUES APPORTEES PAR LE GROUPE : </w:t>
      </w:r>
    </w:p>
    <w:p w14:paraId="101A23A0" w14:textId="77777777" w:rsidR="0035527E" w:rsidRDefault="00D117AA">
      <w:pPr>
        <w:rPr>
          <w:b w:val="0"/>
        </w:rPr>
      </w:pPr>
      <w:r>
        <w:rPr>
          <w:b w:val="0"/>
        </w:rPr>
        <w:t>Prescri</w:t>
      </w:r>
      <w:r w:rsidR="00647972">
        <w:rPr>
          <w:b w:val="0"/>
        </w:rPr>
        <w:t>r</w:t>
      </w:r>
      <w:r>
        <w:rPr>
          <w:b w:val="0"/>
        </w:rPr>
        <w:t xml:space="preserve">e : </w:t>
      </w:r>
      <w:proofErr w:type="spellStart"/>
      <w:r>
        <w:rPr>
          <w:b w:val="0"/>
        </w:rPr>
        <w:t>Paracetamol</w:t>
      </w:r>
      <w:proofErr w:type="spellEnd"/>
      <w:r>
        <w:rPr>
          <w:b w:val="0"/>
        </w:rPr>
        <w:t xml:space="preserve"> en fin de grossesse : fermeture prématurée du canal </w:t>
      </w:r>
      <w:r>
        <w:rPr>
          <w:b w:val="0"/>
        </w:rPr>
        <w:lastRenderedPageBreak/>
        <w:t>artériel à plus de 1500 mg ou égal 1500 pendant plusieurs jours</w:t>
      </w:r>
      <w:r w:rsidR="00647972">
        <w:rPr>
          <w:b w:val="0"/>
        </w:rPr>
        <w:t xml:space="preserve"> (BIP 31 - revue de Toulouse sur la </w:t>
      </w:r>
      <w:proofErr w:type="spellStart"/>
      <w:r w:rsidR="00647972">
        <w:rPr>
          <w:b w:val="0"/>
        </w:rPr>
        <w:t>pharmaco-vigilance</w:t>
      </w:r>
      <w:proofErr w:type="spellEnd"/>
      <w:r w:rsidR="00647972">
        <w:rPr>
          <w:b w:val="0"/>
        </w:rPr>
        <w:t xml:space="preserve"> - www.bip31.fr)</w:t>
      </w:r>
    </w:p>
    <w:p w14:paraId="55D558E9" w14:textId="77777777" w:rsidR="00B74B1B" w:rsidRDefault="00B74B1B">
      <w:pPr>
        <w:rPr>
          <w:b w:val="0"/>
        </w:rPr>
      </w:pPr>
    </w:p>
    <w:p w14:paraId="74C0CDCA" w14:textId="0A682523" w:rsidR="00D117AA" w:rsidRDefault="00647972">
      <w:pPr>
        <w:rPr>
          <w:b w:val="0"/>
        </w:rPr>
      </w:pPr>
      <w:r>
        <w:rPr>
          <w:b w:val="0"/>
        </w:rPr>
        <w:t xml:space="preserve">Médecine 12/2019 : </w:t>
      </w:r>
      <w:r w:rsidR="002C2C69">
        <w:rPr>
          <w:b w:val="0"/>
        </w:rPr>
        <w:t>traitement hypertens</w:t>
      </w:r>
      <w:r w:rsidR="00E31F71">
        <w:rPr>
          <w:b w:val="0"/>
        </w:rPr>
        <w:t>ion le soir</w:t>
      </w:r>
      <w:r w:rsidR="00D17391">
        <w:rPr>
          <w:b w:val="0"/>
        </w:rPr>
        <w:t xml:space="preserve"> plus efficace sur la prévention des complications cardio-vasculaires de l’HTA (annexe </w:t>
      </w:r>
      <w:r w:rsidR="00A57591">
        <w:rPr>
          <w:b w:val="0"/>
        </w:rPr>
        <w:t>2</w:t>
      </w:r>
      <w:r w:rsidR="00D17391">
        <w:rPr>
          <w:b w:val="0"/>
        </w:rPr>
        <w:t>)</w:t>
      </w:r>
    </w:p>
    <w:p w14:paraId="23A3B4D9" w14:textId="77777777" w:rsidR="00B74B1B" w:rsidRDefault="00B74B1B">
      <w:pPr>
        <w:rPr>
          <w:b w:val="0"/>
        </w:rPr>
      </w:pPr>
    </w:p>
    <w:p w14:paraId="5A5DA30D" w14:textId="77777777" w:rsidR="0035527E" w:rsidRDefault="0035527E">
      <w:pPr>
        <w:rPr>
          <w:b w:val="0"/>
        </w:rPr>
      </w:pPr>
      <w:r>
        <w:rPr>
          <w:u w:val="single"/>
        </w:rPr>
        <w:t>4 - ECARTS PAR RAPPORT A LA PRATIQUE RECOMMANDEE PAR HAS</w:t>
      </w:r>
      <w:proofErr w:type="gramStart"/>
      <w:r>
        <w:rPr>
          <w:u w:val="single"/>
        </w:rPr>
        <w:t xml:space="preserve"> ....</w:t>
      </w:r>
      <w:proofErr w:type="gramEnd"/>
      <w:r>
        <w:rPr>
          <w:u w:val="single"/>
        </w:rPr>
        <w:t xml:space="preserve"> :</w:t>
      </w:r>
      <w:r>
        <w:rPr>
          <w:b w:val="0"/>
        </w:rPr>
        <w:t xml:space="preserve"> </w:t>
      </w:r>
    </w:p>
    <w:p w14:paraId="554508BB" w14:textId="77777777" w:rsidR="0035527E" w:rsidRDefault="0035527E">
      <w:pPr>
        <w:rPr>
          <w:b w:val="0"/>
        </w:rPr>
      </w:pPr>
    </w:p>
    <w:p w14:paraId="546CD40F" w14:textId="77777777" w:rsidR="00670B85" w:rsidRDefault="00670B85">
      <w:pPr>
        <w:rPr>
          <w:b w:val="0"/>
        </w:rPr>
      </w:pPr>
    </w:p>
    <w:p w14:paraId="6E103364" w14:textId="77777777" w:rsidR="00670B85" w:rsidRDefault="00670B85">
      <w:pPr>
        <w:rPr>
          <w:b w:val="0"/>
        </w:rPr>
      </w:pPr>
    </w:p>
    <w:p w14:paraId="7E906B66" w14:textId="77777777" w:rsidR="0035527E" w:rsidRDefault="0035527E">
      <w:pPr>
        <w:rPr>
          <w:b w:val="0"/>
        </w:rPr>
      </w:pPr>
      <w:r>
        <w:rPr>
          <w:u w:val="single"/>
        </w:rPr>
        <w:t>5 - SYNTHESE DES AMELIORATIONS PROPOSEES DU PARCOURS ET DE LA COORDINATION DES SOINS :</w:t>
      </w:r>
    </w:p>
    <w:p w14:paraId="057533CD" w14:textId="03F717F5" w:rsidR="001E495A" w:rsidRDefault="004657E3">
      <w:pPr>
        <w:rPr>
          <w:b w:val="0"/>
        </w:rPr>
      </w:pPr>
      <w:r>
        <w:rPr>
          <w:b w:val="0"/>
        </w:rPr>
        <w:t xml:space="preserve">Dr </w:t>
      </w:r>
      <w:proofErr w:type="spellStart"/>
      <w:r>
        <w:rPr>
          <w:b w:val="0"/>
        </w:rPr>
        <w:t>Bentaleb</w:t>
      </w:r>
      <w:proofErr w:type="spellEnd"/>
      <w:r w:rsidR="00A57591">
        <w:rPr>
          <w:b w:val="0"/>
        </w:rPr>
        <w:t>,</w:t>
      </w:r>
      <w:r>
        <w:rPr>
          <w:b w:val="0"/>
        </w:rPr>
        <w:t xml:space="preserve"> pneumologue à la clinique St Germain</w:t>
      </w:r>
    </w:p>
    <w:p w14:paraId="7C50E9CE" w14:textId="382CD720" w:rsidR="004657E3" w:rsidRDefault="004657E3">
      <w:pPr>
        <w:rPr>
          <w:b w:val="0"/>
        </w:rPr>
      </w:pPr>
      <w:r>
        <w:rPr>
          <w:b w:val="0"/>
        </w:rPr>
        <w:t xml:space="preserve">Dr </w:t>
      </w:r>
      <w:r w:rsidR="00A57591">
        <w:rPr>
          <w:b w:val="0"/>
        </w:rPr>
        <w:t xml:space="preserve">Anne-Cécile </w:t>
      </w:r>
      <w:r>
        <w:rPr>
          <w:b w:val="0"/>
        </w:rPr>
        <w:t>Poirier</w:t>
      </w:r>
      <w:r w:rsidR="00A57591">
        <w:rPr>
          <w:b w:val="0"/>
        </w:rPr>
        <w:t>,</w:t>
      </w:r>
      <w:r>
        <w:rPr>
          <w:b w:val="0"/>
        </w:rPr>
        <w:t xml:space="preserve"> pneumologue</w:t>
      </w:r>
      <w:r w:rsidR="00A57591">
        <w:rPr>
          <w:b w:val="0"/>
        </w:rPr>
        <w:t>, rue de Pologne à St Germain</w:t>
      </w:r>
    </w:p>
    <w:p w14:paraId="472675BA" w14:textId="77777777" w:rsidR="004657E3" w:rsidRDefault="004657E3">
      <w:pPr>
        <w:rPr>
          <w:b w:val="0"/>
        </w:rPr>
      </w:pPr>
    </w:p>
    <w:p w14:paraId="297F3E02" w14:textId="77777777" w:rsidR="00670B85" w:rsidRDefault="00670B85">
      <w:pPr>
        <w:rPr>
          <w:b w:val="0"/>
        </w:rPr>
      </w:pPr>
    </w:p>
    <w:p w14:paraId="117A999D" w14:textId="77777777" w:rsidR="0035527E" w:rsidRDefault="0035527E">
      <w:pPr>
        <w:rPr>
          <w:b w:val="0"/>
        </w:rPr>
      </w:pPr>
      <w:r>
        <w:rPr>
          <w:u w:val="single"/>
        </w:rPr>
        <w:t>6 - SYNTHESE DES CAS COMPLIQUES :</w:t>
      </w:r>
    </w:p>
    <w:p w14:paraId="2763C912" w14:textId="77777777" w:rsidR="0035527E" w:rsidRDefault="0095006E">
      <w:pPr>
        <w:rPr>
          <w:b w:val="0"/>
        </w:rPr>
      </w:pPr>
      <w:r>
        <w:rPr>
          <w:b w:val="0"/>
        </w:rPr>
        <w:t>Poussée de SEP traitée par 10 comprimés de Prednisone 20mg pendant 3 jours</w:t>
      </w:r>
    </w:p>
    <w:p w14:paraId="3A257162" w14:textId="77777777" w:rsidR="00670B85" w:rsidRDefault="0095006E">
      <w:pPr>
        <w:rPr>
          <w:b w:val="0"/>
        </w:rPr>
      </w:pPr>
      <w:r>
        <w:rPr>
          <w:b w:val="0"/>
        </w:rPr>
        <w:t xml:space="preserve">Traitement des cystites par </w:t>
      </w:r>
      <w:proofErr w:type="spellStart"/>
      <w:r>
        <w:rPr>
          <w:b w:val="0"/>
        </w:rPr>
        <w:t>Acetylcystéine</w:t>
      </w:r>
      <w:proofErr w:type="spellEnd"/>
    </w:p>
    <w:p w14:paraId="497B9F22" w14:textId="77777777" w:rsidR="00670B85" w:rsidRDefault="00670B85">
      <w:pPr>
        <w:rPr>
          <w:b w:val="0"/>
        </w:rPr>
      </w:pPr>
    </w:p>
    <w:p w14:paraId="2694AFB9" w14:textId="77777777" w:rsidR="0035527E" w:rsidRDefault="0035527E">
      <w:pPr>
        <w:rPr>
          <w:b w:val="0"/>
        </w:rPr>
      </w:pPr>
      <w:r>
        <w:rPr>
          <w:u w:val="single"/>
        </w:rPr>
        <w:t>7 - AUTRES QUESTION ET ECHANGES - DISCUSSION LIBRE :</w:t>
      </w:r>
    </w:p>
    <w:p w14:paraId="312613EA" w14:textId="77777777" w:rsidR="00960F29" w:rsidRDefault="00E949A3">
      <w:pPr>
        <w:rPr>
          <w:b w:val="0"/>
        </w:rPr>
      </w:pPr>
      <w:r>
        <w:rPr>
          <w:b w:val="0"/>
        </w:rPr>
        <w:t xml:space="preserve">Patient avec </w:t>
      </w:r>
      <w:proofErr w:type="spellStart"/>
      <w:r>
        <w:rPr>
          <w:b w:val="0"/>
        </w:rPr>
        <w:t>hyper-ferritinémie</w:t>
      </w:r>
      <w:proofErr w:type="spellEnd"/>
      <w:r>
        <w:rPr>
          <w:b w:val="0"/>
        </w:rPr>
        <w:t xml:space="preserve"> sans cause retrouvée</w:t>
      </w:r>
    </w:p>
    <w:p w14:paraId="1CD6CB55" w14:textId="77777777" w:rsidR="0086460E" w:rsidRDefault="0086460E">
      <w:pPr>
        <w:rPr>
          <w:b w:val="0"/>
        </w:rPr>
      </w:pPr>
    </w:p>
    <w:p w14:paraId="77432EC1" w14:textId="77777777" w:rsidR="00E420ED" w:rsidRDefault="00E420ED">
      <w:pPr>
        <w:rPr>
          <w:b w:val="0"/>
        </w:rPr>
      </w:pPr>
      <w:r>
        <w:rPr>
          <w:b w:val="0"/>
        </w:rPr>
        <w:t xml:space="preserve">Patiente traitée début mars pour une sinusite traitée par ATB et Prednisone, puis infection type </w:t>
      </w:r>
      <w:proofErr w:type="spellStart"/>
      <w:r>
        <w:rPr>
          <w:b w:val="0"/>
        </w:rPr>
        <w:t>covid</w:t>
      </w:r>
      <w:proofErr w:type="spellEnd"/>
      <w:r>
        <w:rPr>
          <w:b w:val="0"/>
        </w:rPr>
        <w:t xml:space="preserve"> probable, amélioration puis reprise des signes avec fièvre modérée, bilan sanguin normal sauf TSH à 8. </w:t>
      </w:r>
      <w:proofErr w:type="gramStart"/>
      <w:r>
        <w:rPr>
          <w:b w:val="0"/>
        </w:rPr>
        <w:t>anticorps</w:t>
      </w:r>
      <w:proofErr w:type="gramEnd"/>
      <w:r>
        <w:rPr>
          <w:b w:val="0"/>
        </w:rPr>
        <w:t xml:space="preserve"> antithyroïdiens élevés, T4 normale.</w:t>
      </w:r>
    </w:p>
    <w:p w14:paraId="676588C3" w14:textId="77777777" w:rsidR="00E420ED" w:rsidRDefault="00E420ED">
      <w:pPr>
        <w:rPr>
          <w:b w:val="0"/>
        </w:rPr>
      </w:pPr>
    </w:p>
    <w:p w14:paraId="3D3C9B59" w14:textId="77777777" w:rsidR="0035527E" w:rsidRDefault="0035527E">
      <w:pPr>
        <w:rPr>
          <w:b w:val="0"/>
        </w:rPr>
      </w:pPr>
      <w:r>
        <w:rPr>
          <w:b w:val="0"/>
        </w:rPr>
        <w:t>Cas clinique à préparer pour la prochain</w:t>
      </w:r>
      <w:r w:rsidR="00DF28D3">
        <w:rPr>
          <w:b w:val="0"/>
        </w:rPr>
        <w:t>e</w:t>
      </w:r>
      <w:r>
        <w:rPr>
          <w:b w:val="0"/>
        </w:rPr>
        <w:t xml:space="preserve"> séance : </w:t>
      </w:r>
      <w:r w:rsidR="00960F29">
        <w:rPr>
          <w:b w:val="0"/>
        </w:rPr>
        <w:t>1</w:t>
      </w:r>
      <w:r w:rsidR="00217915">
        <w:rPr>
          <w:b w:val="0"/>
        </w:rPr>
        <w:t>8</w:t>
      </w:r>
      <w:r w:rsidR="00847AFD">
        <w:rPr>
          <w:b w:val="0"/>
        </w:rPr>
        <w:t>ème du 1</w:t>
      </w:r>
      <w:r w:rsidR="00217915">
        <w:rPr>
          <w:b w:val="0"/>
        </w:rPr>
        <w:t>8</w:t>
      </w:r>
      <w:r w:rsidR="00847AFD">
        <w:rPr>
          <w:b w:val="0"/>
        </w:rPr>
        <w:t xml:space="preserve"> mai</w:t>
      </w:r>
      <w:r>
        <w:rPr>
          <w:b w:val="0"/>
        </w:rPr>
        <w:t xml:space="preserve"> 20</w:t>
      </w:r>
      <w:r w:rsidR="00847AFD">
        <w:rPr>
          <w:b w:val="0"/>
        </w:rPr>
        <w:t>20</w:t>
      </w:r>
    </w:p>
    <w:p w14:paraId="59207E7F" w14:textId="083D9B65" w:rsidR="00250807" w:rsidRDefault="00250807" w:rsidP="00250807">
      <w:pPr>
        <w:pStyle w:val="Default"/>
      </w:pPr>
    </w:p>
    <w:p w14:paraId="3E7F374D" w14:textId="317954FF" w:rsidR="00BD0993" w:rsidRDefault="00BD0993" w:rsidP="00250807">
      <w:pPr>
        <w:pStyle w:val="Default"/>
      </w:pPr>
    </w:p>
    <w:p w14:paraId="16BE942E" w14:textId="28475E83" w:rsidR="00BD0993" w:rsidRDefault="00BD0993" w:rsidP="00250807">
      <w:pPr>
        <w:pStyle w:val="Default"/>
      </w:pPr>
    </w:p>
    <w:p w14:paraId="55018B19" w14:textId="3742312C" w:rsidR="00BD0993" w:rsidRDefault="00BD0993" w:rsidP="00250807">
      <w:pPr>
        <w:pStyle w:val="Default"/>
      </w:pPr>
    </w:p>
    <w:p w14:paraId="01653ED4" w14:textId="2427F654" w:rsidR="00BD0993" w:rsidRDefault="00BD0993" w:rsidP="00250807">
      <w:pPr>
        <w:pStyle w:val="Default"/>
      </w:pPr>
    </w:p>
    <w:p w14:paraId="2C21A78B" w14:textId="2225593A" w:rsidR="00BD0993" w:rsidRDefault="00BD0993" w:rsidP="00250807">
      <w:pPr>
        <w:pStyle w:val="Default"/>
      </w:pPr>
    </w:p>
    <w:p w14:paraId="0DDCBA1D" w14:textId="67DC908F" w:rsidR="00BD0993" w:rsidRDefault="00BD0993" w:rsidP="00250807">
      <w:pPr>
        <w:pStyle w:val="Default"/>
      </w:pPr>
    </w:p>
    <w:p w14:paraId="13A2B1FB" w14:textId="639294E4" w:rsidR="00BD0993" w:rsidRDefault="00BD0993" w:rsidP="00250807">
      <w:pPr>
        <w:pStyle w:val="Default"/>
      </w:pPr>
    </w:p>
    <w:p w14:paraId="0966DD33" w14:textId="4A40B65B" w:rsidR="00BD0993" w:rsidRDefault="00BD0993" w:rsidP="00250807">
      <w:pPr>
        <w:pStyle w:val="Default"/>
      </w:pPr>
    </w:p>
    <w:p w14:paraId="2FA0B02E" w14:textId="42939680" w:rsidR="00BD0993" w:rsidRDefault="00BD0993" w:rsidP="00250807">
      <w:pPr>
        <w:pStyle w:val="Default"/>
      </w:pPr>
    </w:p>
    <w:p w14:paraId="33017269" w14:textId="598EEBAD" w:rsidR="00BD0993" w:rsidRDefault="00BD0993" w:rsidP="00250807">
      <w:pPr>
        <w:pStyle w:val="Default"/>
      </w:pPr>
    </w:p>
    <w:p w14:paraId="5AF43B44" w14:textId="66927D5D" w:rsidR="00BD0993" w:rsidRDefault="00BD0993" w:rsidP="00250807">
      <w:pPr>
        <w:pStyle w:val="Default"/>
      </w:pPr>
    </w:p>
    <w:p w14:paraId="1CE03493" w14:textId="604DB26F" w:rsidR="00BD0993" w:rsidRDefault="00BD0993" w:rsidP="00250807">
      <w:pPr>
        <w:pStyle w:val="Default"/>
      </w:pPr>
    </w:p>
    <w:p w14:paraId="1FC32DA9" w14:textId="1DBB5E00" w:rsidR="00BD0993" w:rsidRDefault="00BD0993" w:rsidP="00250807">
      <w:pPr>
        <w:pStyle w:val="Default"/>
      </w:pPr>
    </w:p>
    <w:p w14:paraId="3811E2EB" w14:textId="213B1EB3" w:rsidR="00BD0993" w:rsidRDefault="00BD0993" w:rsidP="00250807">
      <w:pPr>
        <w:pStyle w:val="Default"/>
      </w:pPr>
    </w:p>
    <w:p w14:paraId="74157DE2" w14:textId="778B4487" w:rsidR="00BD0993" w:rsidRDefault="00BD0993" w:rsidP="00250807">
      <w:pPr>
        <w:pStyle w:val="Default"/>
      </w:pPr>
    </w:p>
    <w:p w14:paraId="34D0F1F2" w14:textId="4EDE90FA" w:rsidR="00BD0993" w:rsidRDefault="00BD0993" w:rsidP="00250807">
      <w:pPr>
        <w:pStyle w:val="Default"/>
      </w:pPr>
    </w:p>
    <w:p w14:paraId="4B6CAC46" w14:textId="2319D106" w:rsidR="00BD0993" w:rsidRDefault="00BD0993" w:rsidP="00250807">
      <w:pPr>
        <w:pStyle w:val="Default"/>
      </w:pPr>
    </w:p>
    <w:p w14:paraId="3074939F" w14:textId="034FF655" w:rsidR="00BD0993" w:rsidRDefault="00BD0993" w:rsidP="00250807">
      <w:pPr>
        <w:pStyle w:val="Default"/>
      </w:pPr>
    </w:p>
    <w:p w14:paraId="555B85F5" w14:textId="59163FD6" w:rsidR="00BD0993" w:rsidRDefault="00BD0993" w:rsidP="00250807">
      <w:pPr>
        <w:pStyle w:val="Default"/>
      </w:pPr>
      <w:r>
        <w:t>ASSOCIATION DES MALADIES HEREDITAIRES DU RYTHME CARDIAQUE</w:t>
      </w:r>
    </w:p>
    <w:p w14:paraId="459BE609" w14:textId="5CCBBBDA" w:rsidR="00BD0993" w:rsidRDefault="00BD0993" w:rsidP="00250807">
      <w:pPr>
        <w:pStyle w:val="Default"/>
      </w:pPr>
      <w:r>
        <w:t xml:space="preserve">Médicaments </w:t>
      </w:r>
      <w:proofErr w:type="spellStart"/>
      <w:r>
        <w:t>contre-indiéqués</w:t>
      </w:r>
      <w:proofErr w:type="spellEnd"/>
      <w:r>
        <w:t xml:space="preserve"> qui prolongent le QT et/ou causent des torsades de pointes</w:t>
      </w:r>
    </w:p>
    <w:p w14:paraId="4EA1ADD2" w14:textId="77777777" w:rsidR="00250807" w:rsidRDefault="00250807" w:rsidP="00250807">
      <w:pPr>
        <w:pStyle w:val="Default"/>
      </w:pPr>
    </w:p>
    <w:tbl>
      <w:tblPr>
        <w:tblW w:w="109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112"/>
        <w:gridCol w:w="508"/>
        <w:gridCol w:w="2432"/>
        <w:gridCol w:w="508"/>
      </w:tblGrid>
      <w:tr w:rsidR="00BD0993" w:rsidRPr="00BD0993" w14:paraId="7702BCFD" w14:textId="77777777" w:rsidTr="00BD0993">
        <w:trPr>
          <w:gridAfter w:val="1"/>
          <w:wAfter w:w="508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384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Anesthésiques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8E29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Métronidazole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9D0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Immunosuppresseur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E0DC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ind w:left="505"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Oncologie</w:t>
            </w:r>
          </w:p>
        </w:tc>
      </w:tr>
      <w:tr w:rsidR="00BD0993" w:rsidRPr="00BD0993" w14:paraId="4F17B3D5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3D3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Desflurane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DC1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Pentamidine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7DF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ind w:left="-583" w:firstLine="583"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Tacrolimus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7893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Anagrélide</w:t>
            </w:r>
            <w:proofErr w:type="spellEnd"/>
          </w:p>
        </w:tc>
      </w:tr>
      <w:tr w:rsidR="00BD0993" w:rsidRPr="00BD0993" w14:paraId="52D8A598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DCB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Dexmédétomidine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B59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PIPERAQUINE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F3CC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E54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Arsenic </w:t>
            </w: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trioxide</w:t>
            </w:r>
            <w:proofErr w:type="spellEnd"/>
          </w:p>
        </w:tc>
      </w:tr>
      <w:tr w:rsidR="00BD0993" w:rsidRPr="00BD0993" w14:paraId="6C0104AF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A44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Isoflurane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9BB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Quinidine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0D11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Maladie de Cushing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EF2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Bendamustine</w:t>
            </w:r>
            <w:proofErr w:type="spellEnd"/>
          </w:p>
        </w:tc>
      </w:tr>
      <w:tr w:rsidR="00BD0993" w:rsidRPr="00BD0993" w14:paraId="026CF2BB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930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Propofol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4B4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Quinine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FDF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Pasireotide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F3C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Bortézomib</w:t>
            </w:r>
            <w:proofErr w:type="spellEnd"/>
          </w:p>
        </w:tc>
      </w:tr>
      <w:tr w:rsidR="00BD0993" w:rsidRPr="00BD0993" w14:paraId="364DA613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AB9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Sevoflurane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B16B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8C6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130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Bosutinib</w:t>
            </w:r>
            <w:proofErr w:type="spellEnd"/>
          </w:p>
        </w:tc>
      </w:tr>
      <w:tr w:rsidR="00BD0993" w:rsidRPr="00BD0993" w14:paraId="6721E628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9044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649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Anti-progestatifs/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D8E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Maladie de Gaucher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68D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Cabozantinib</w:t>
            </w:r>
            <w:proofErr w:type="spellEnd"/>
          </w:p>
        </w:tc>
      </w:tr>
      <w:tr w:rsidR="00BD0993" w:rsidRPr="00BD0993" w14:paraId="61590BCB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758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Antibiotiques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C20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Obsétrique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9E6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Eliglustat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BC6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Capecitabine</w:t>
            </w:r>
            <w:proofErr w:type="spellEnd"/>
          </w:p>
        </w:tc>
      </w:tr>
      <w:tr w:rsidR="00BD0993" w:rsidRPr="00BD0993" w14:paraId="26C8112C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4A0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Azithromycine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D6B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Mifépristone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56A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A155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Ceritinib</w:t>
            </w:r>
            <w:proofErr w:type="spellEnd"/>
          </w:p>
        </w:tc>
      </w:tr>
      <w:tr w:rsidR="00BD0993" w:rsidRPr="00BD0993" w14:paraId="348C7388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8FE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Ciprofloxacine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D01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Oxytocine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B74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Neuro-musculaires/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D55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Crizotinib</w:t>
            </w:r>
            <w:proofErr w:type="spellEnd"/>
          </w:p>
        </w:tc>
      </w:tr>
      <w:tr w:rsidR="00BD0993" w:rsidRPr="00BD0993" w14:paraId="37D93719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EFF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Clarithromycine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9C1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3E605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 xml:space="preserve"> -psychiatriques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0D5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Dabrafénib</w:t>
            </w:r>
            <w:proofErr w:type="spellEnd"/>
          </w:p>
        </w:tc>
      </w:tr>
      <w:tr w:rsidR="00BD0993" w:rsidRPr="00BD0993" w14:paraId="23BFF170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882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Erythromycine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4AB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Anti-viraux</w:t>
            </w:r>
            <w:proofErr w:type="spellEnd"/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/ Anti-VIH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FC5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Amantadine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4F6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Dasatinib</w:t>
            </w:r>
            <w:proofErr w:type="spellEnd"/>
          </w:p>
        </w:tc>
      </w:tr>
      <w:tr w:rsidR="00BD0993" w:rsidRPr="00BD0993" w14:paraId="50AC2837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2E2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Lévofloxacine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620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Amantadine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16D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Amisulpride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FDA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Dégarélix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</w:tr>
      <w:tr w:rsidR="00BD0993" w:rsidRPr="00BD0993" w14:paraId="13EDBDFE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AE6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Métronidazole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393B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Atazanavir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BB8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Amitriptyline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621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DOXORUBICINE</w:t>
            </w:r>
          </w:p>
        </w:tc>
      </w:tr>
      <w:tr w:rsidR="00BD0993" w:rsidRPr="00BD0993" w14:paraId="75C75336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697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Moxifloxacine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0591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Daclatasvir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7C6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Apomorphine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926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Epirubicin</w:t>
            </w:r>
            <w:proofErr w:type="spellEnd"/>
          </w:p>
        </w:tc>
      </w:tr>
      <w:tr w:rsidR="00BD0993" w:rsidRPr="00BD0993" w14:paraId="6D6353CD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22D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Norfloxacin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A05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Elfavirenz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2605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Aripiprazole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5DB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Eribuline</w:t>
            </w:r>
            <w:proofErr w:type="spellEnd"/>
          </w:p>
        </w:tc>
      </w:tr>
      <w:tr w:rsidR="00BD0993" w:rsidRPr="00BD0993" w14:paraId="1A283C68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2D84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Ofloxacin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2E5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Furosemide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F18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Buprenorphine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BDE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Lapatinib</w:t>
            </w:r>
            <w:proofErr w:type="spellEnd"/>
          </w:p>
        </w:tc>
      </w:tr>
      <w:tr w:rsidR="00BD0993" w:rsidRPr="00BD0993" w14:paraId="6DD33115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2346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Piperacilline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Tazobactam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20D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Indapamide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0A3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Chlorpromazine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8A3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Lenvatinib</w:t>
            </w:r>
            <w:proofErr w:type="spellEnd"/>
          </w:p>
        </w:tc>
      </w:tr>
      <w:tr w:rsidR="00BD0993" w:rsidRPr="00BD0993" w14:paraId="56FCCC14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D42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Roxithromycine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FC1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OCTRÉOTIDE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099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Citalopram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E129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Leuprolide</w:t>
            </w:r>
            <w:proofErr w:type="spellEnd"/>
          </w:p>
        </w:tc>
      </w:tr>
      <w:tr w:rsidR="00BD0993" w:rsidRPr="00BD0993" w14:paraId="6A135BC7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FA3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SPIRAMYCINE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55A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Rilpivirine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0EA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Clomipramine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6AF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Osimertinib</w:t>
            </w:r>
            <w:proofErr w:type="spellEnd"/>
          </w:p>
        </w:tc>
      </w:tr>
      <w:tr w:rsidR="00BD0993" w:rsidRPr="00BD0993" w14:paraId="065D5E41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C26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Télavancin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AC7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Ritonavir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B3F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Clozapine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D6E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Oxaliplatine</w:t>
            </w:r>
            <w:proofErr w:type="spellEnd"/>
          </w:p>
        </w:tc>
      </w:tr>
      <w:tr w:rsidR="00BD0993" w:rsidRPr="00BD0993" w14:paraId="58B85E64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856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Télithromycine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BD8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Saquinavir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8AB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Cyamemazine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373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Panobinostat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</w:tr>
      <w:tr w:rsidR="00BD0993" w:rsidRPr="00BD0993" w14:paraId="055B512D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0B6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Télaprévir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550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SOFOSBUVIR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417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Donepezil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599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Pazopanib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</w:tr>
      <w:tr w:rsidR="00BD0993" w:rsidRPr="00BD0993" w14:paraId="12349320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D1D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CCB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Doxépine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B875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Doxepine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63AA5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Sorafénib</w:t>
            </w:r>
            <w:proofErr w:type="spellEnd"/>
          </w:p>
        </w:tc>
      </w:tr>
      <w:tr w:rsidR="00BD0993" w:rsidRPr="00BD0993" w14:paraId="6C513B74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FB8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Anti-diuretiques</w:t>
            </w:r>
            <w:proofErr w:type="spellEnd"/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A602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Dropéridol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B605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Dropéridol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A41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Sunitinib</w:t>
            </w:r>
            <w:proofErr w:type="spellEnd"/>
          </w:p>
        </w:tc>
      </w:tr>
      <w:tr w:rsidR="00BD0993" w:rsidRPr="00BD0993" w14:paraId="13669AF5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D25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Diurétiques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4CF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438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Escitalopram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024F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Tamoxifène</w:t>
            </w:r>
          </w:p>
        </w:tc>
      </w:tr>
      <w:tr w:rsidR="00BD0993" w:rsidRPr="00BD0993" w14:paraId="492788B1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554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Furosemide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B8C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Cardiovasculaires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42F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Ezogabine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(</w:t>
            </w: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Rétigabine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0E8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Torémifène</w:t>
            </w:r>
            <w:proofErr w:type="spellEnd"/>
          </w:p>
        </w:tc>
      </w:tr>
      <w:tr w:rsidR="00BD0993" w:rsidRPr="00BD0993" w14:paraId="75D7D72B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CFD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VASOPRESSINE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F16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Amiodarone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DFE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Tiapiracil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and </w:t>
            </w: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Trifluridine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893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Vandétanib</w:t>
            </w:r>
            <w:proofErr w:type="spellEnd"/>
          </w:p>
        </w:tc>
      </w:tr>
      <w:tr w:rsidR="00BD0993" w:rsidRPr="00BD0993" w14:paraId="03FD0094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799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CIBENZOLINE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8DB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Felbamate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5775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Felbamate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034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Vémurafénib</w:t>
            </w:r>
            <w:proofErr w:type="spellEnd"/>
          </w:p>
        </w:tc>
      </w:tr>
      <w:tr w:rsidR="00BD0993" w:rsidRPr="00BD0993" w14:paraId="1B0D17DB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DC1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821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Disopyramide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AA21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Fingolimod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73D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2D940326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8FAD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Antiémétiques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C9CA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DOBUTAMINE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2DC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Fluoxétine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CC5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 xml:space="preserve">Pneumo- </w:t>
            </w:r>
          </w:p>
        </w:tc>
      </w:tr>
      <w:tr w:rsidR="00BD0993" w:rsidRPr="00BD0993" w14:paraId="4C11C302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89D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Granisetron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F06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DOPAMINE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279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Flupentixol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9DD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Antiasthmatiques/</w:t>
            </w:r>
          </w:p>
        </w:tc>
      </w:tr>
      <w:tr w:rsidR="00BD0993" w:rsidRPr="00BD0993" w14:paraId="7373D630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058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Ondansétron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727A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Dronédarone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892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FLUPHENAZINE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ACE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Antituberculeux</w:t>
            </w:r>
          </w:p>
        </w:tc>
      </w:tr>
      <w:tr w:rsidR="00BD0993" w:rsidRPr="00BD0993" w14:paraId="40CFE6DF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E45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Palonosetron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2BC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Fluvoxamine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C532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Fluvoxamine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BB2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Bedaquiline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</w:tr>
      <w:tr w:rsidR="00BD0993" w:rsidRPr="00BD0993" w14:paraId="00F19445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C8F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EPHEDRINE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257F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Epinéphrine (Adrénaline)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727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Galantamine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661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Delamanid</w:t>
            </w:r>
            <w:proofErr w:type="spellEnd"/>
          </w:p>
        </w:tc>
      </w:tr>
      <w:tr w:rsidR="00BD0993" w:rsidRPr="00BD0993" w14:paraId="10AF030F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1BD9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D965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Flecaïnide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E73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Haloperidol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DAB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Formotérol</w:t>
            </w:r>
          </w:p>
        </w:tc>
      </w:tr>
      <w:tr w:rsidR="00BD0993" w:rsidRPr="00BD0993" w14:paraId="2CBF8C57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51DD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Antifongiques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385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Hydrochlorothiazide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A57E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Hydroxyzine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EB2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SALBUTAMOL (ALBUTEROL)</w:t>
            </w:r>
          </w:p>
        </w:tc>
      </w:tr>
      <w:tr w:rsidR="00BD0993" w:rsidRPr="00BD0993" w14:paraId="2D9A5BDC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7B68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Amphotericin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397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Ibutilide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CE6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Imipramine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C0B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277F52A3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CFA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Fluconazole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07F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Isoprotérénol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DADE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Lévomépromazine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894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Prostate (hypertrophie)</w:t>
            </w:r>
          </w:p>
        </w:tc>
      </w:tr>
      <w:tr w:rsidR="00BD0993" w:rsidRPr="00BD0993" w14:paraId="34AD7FA7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10C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Itraconazole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984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Isradipine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9F4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Lithium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401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Alfuzosine</w:t>
            </w:r>
            <w:proofErr w:type="spellEnd"/>
          </w:p>
        </w:tc>
      </w:tr>
      <w:tr w:rsidR="00BD0993" w:rsidRPr="00BD0993" w14:paraId="24823081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FB5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Kétoconazole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11F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Ivabradine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31E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MAPROTILINE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96E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1F2FD842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B7FC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MICONAZOLE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067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MIDODRINE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375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Méthadone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2915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Urologie</w:t>
            </w:r>
          </w:p>
        </w:tc>
      </w:tr>
      <w:tr w:rsidR="00BD0993" w:rsidRPr="00BD0993" w14:paraId="58A8D239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8214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Posaconazole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1C80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METHYLPHENIDATE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C4E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NARATRIPTAN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B92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Antispamodiques</w:t>
            </w:r>
            <w:proofErr w:type="spellEnd"/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 xml:space="preserve"> urinaires</w:t>
            </w:r>
          </w:p>
        </w:tc>
      </w:tr>
      <w:tr w:rsidR="00BD0993" w:rsidRPr="00BD0993" w14:paraId="0A0ED978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A72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Voriconazole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6F5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Nicardipine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1019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Methylphenidate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004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Mirabegron</w:t>
            </w:r>
            <w:proofErr w:type="spellEnd"/>
          </w:p>
        </w:tc>
      </w:tr>
      <w:tr w:rsidR="00BD0993" w:rsidRPr="00BD0993" w14:paraId="4D686FC0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7CE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lastRenderedPageBreak/>
              <w:t>Moexipril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/ </w:t>
            </w: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Hydrochlorthiazide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84A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Norépinéphrine (Noradrénaline)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D3A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MEXILETINE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8C3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Solifénacine</w:t>
            </w:r>
            <w:proofErr w:type="spellEnd"/>
          </w:p>
        </w:tc>
      </w:tr>
      <w:tr w:rsidR="00BD0993" w:rsidRPr="00BD0993" w14:paraId="2D172DAC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FB0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32DE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Pseudoéphédrine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3E1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Mirtazapine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B5777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Toltérodine</w:t>
            </w:r>
            <w:proofErr w:type="spellEnd"/>
          </w:p>
        </w:tc>
      </w:tr>
      <w:tr w:rsidR="00BD0993" w:rsidRPr="00BD0993" w14:paraId="4DB4860F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F73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Antihistaminiques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3A7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Sotalol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014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Nilotinib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EC4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Alfuzosine</w:t>
            </w:r>
            <w:proofErr w:type="spellEnd"/>
          </w:p>
        </w:tc>
      </w:tr>
      <w:tr w:rsidR="00BD0993" w:rsidRPr="00BD0993" w14:paraId="73BA93CA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7C9B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ALIMEMAZINE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2F6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SUMATRIPTAN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E47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Olanzapine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DF69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27473361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936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BROMPHENIRAMINE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F3B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Terlipressin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B14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Palipéridone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F04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Stimulants</w:t>
            </w:r>
          </w:p>
        </w:tc>
      </w:tr>
      <w:tr w:rsidR="00BD0993" w:rsidRPr="00BD0993" w14:paraId="7501E3A1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EAA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CETERIZINE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9D1E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VINCAMINE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69D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Paroxétine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AF6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AMPHETAMINE</w:t>
            </w:r>
          </w:p>
        </w:tc>
      </w:tr>
      <w:tr w:rsidR="00BD0993" w:rsidRPr="00BD0993" w14:paraId="5F294E72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7B1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CYPROHEPTADINE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247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F317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Pimozide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367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Cocaïne</w:t>
            </w:r>
          </w:p>
        </w:tc>
      </w:tr>
      <w:tr w:rsidR="00BD0993" w:rsidRPr="00BD0993" w14:paraId="76A4464A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60F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DEXCHLORPHENIRAMINE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306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Gastro-intestinaux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F57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Pipamperone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48E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Vardénafil</w:t>
            </w:r>
            <w:proofErr w:type="spellEnd"/>
          </w:p>
        </w:tc>
      </w:tr>
      <w:tr w:rsidR="00BD0993" w:rsidRPr="00BD0993" w14:paraId="43FE4551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819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Diphénhydramine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54B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Dompéridone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D84A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Quétiapine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B8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7D80D612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09C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DOXYLAMINE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A02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Esomeprazole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922D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Rispéridone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D6C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11D0E701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6BA5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LORATADINE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839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Lansoprazole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175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Sertraline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FB6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778EE131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CE95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MEQUITAZINE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ECF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Loperamide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9A7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Sulpiride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C62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18CAEF76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0DE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Prométhazine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8553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Famotidine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7C0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Tétrabénazine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A95B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6FB54CFF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4ED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EBASTINE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96A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Métoclopramide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09C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Tiapride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B42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681259DB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D3B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D24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Omeprazole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A93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Trimipramine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7E1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095A4B09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044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Anti-paludisme/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940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Pantoprazole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AD4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Venlafaxine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383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</w:tr>
      <w:tr w:rsidR="00BD0993" w:rsidRPr="00BD0993" w14:paraId="66D03F3A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D3C75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</w:pPr>
            <w:proofErr w:type="gramStart"/>
            <w:r w:rsidRPr="00BD0993">
              <w:rPr>
                <w:rFonts w:ascii="Calibri" w:hAnsi="Calibri" w:cs="Calibri"/>
                <w:bCs/>
                <w:color w:val="000000"/>
                <w:sz w:val="20"/>
                <w:lang w:eastAsia="fr-FR"/>
              </w:rPr>
              <w:t>antiparasitaires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4A7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Papaverine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HCI (intra-</w:t>
            </w: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coronary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A72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050C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</w:tr>
      <w:tr w:rsidR="00BD0993" w:rsidRPr="00BD0993" w14:paraId="4DACB65B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71CE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Artenimol</w:t>
            </w:r>
            <w:proofErr w:type="spellEnd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 xml:space="preserve"> +</w:t>
            </w: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piperaquine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59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D86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02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</w:tr>
      <w:tr w:rsidR="00BD0993" w:rsidRPr="00BD0993" w14:paraId="79247419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AF20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Chloroquine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84F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A7F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88D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</w:tr>
      <w:tr w:rsidR="00BD0993" w:rsidRPr="00BD0993" w14:paraId="1307EF16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D4A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proofErr w:type="spellStart"/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Hydroxychloroquine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B268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3D8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CA4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</w:tr>
      <w:tr w:rsidR="00BD0993" w:rsidRPr="00BD0993" w14:paraId="169146CC" w14:textId="77777777" w:rsidTr="00BD099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D89D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  <w:r w:rsidRPr="00BD0993"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  <w:t>MÉFLOQUINE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CCA9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 w:val="0"/>
                <w:color w:val="000000"/>
                <w:sz w:val="20"/>
                <w:lang w:eastAsia="fr-F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5021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C8A6" w14:textId="77777777" w:rsidR="00BD0993" w:rsidRPr="00BD0993" w:rsidRDefault="00BD0993" w:rsidP="00BD0993">
            <w:pPr>
              <w:widowControl/>
              <w:tabs>
                <w:tab w:val="clear" w:pos="3119"/>
                <w:tab w:val="clear" w:pos="5387"/>
                <w:tab w:val="clear" w:pos="7088"/>
              </w:tabs>
              <w:suppressAutoHyphens w:val="0"/>
              <w:overflowPunct/>
              <w:autoSpaceDE/>
              <w:textAlignment w:val="auto"/>
              <w:rPr>
                <w:b w:val="0"/>
                <w:sz w:val="20"/>
                <w:lang w:eastAsia="fr-FR"/>
              </w:rPr>
            </w:pPr>
          </w:p>
        </w:tc>
      </w:tr>
    </w:tbl>
    <w:p w14:paraId="2B962968" w14:textId="77777777" w:rsidR="00250807" w:rsidRDefault="00250807" w:rsidP="00250807">
      <w:pPr>
        <w:pStyle w:val="Default"/>
      </w:pPr>
    </w:p>
    <w:p w14:paraId="742BB3B9" w14:textId="60F2098C" w:rsidR="00DF28D3" w:rsidRDefault="009944A5">
      <w:pPr>
        <w:rPr>
          <w:b w:val="0"/>
        </w:rPr>
      </w:pPr>
      <w:r w:rsidRPr="009944A5">
        <w:rPr>
          <w:b w:val="0"/>
        </w:rPr>
        <w:t>Classification des neuroleptiques en fonction du risque de torsade de pointe</w:t>
      </w:r>
    </w:p>
    <w:p w14:paraId="40653379" w14:textId="36B9E3B6" w:rsidR="009944A5" w:rsidRPr="009944A5" w:rsidRDefault="00C60BA2">
      <w:pPr>
        <w:rPr>
          <w:b w:val="0"/>
          <w:i/>
          <w:iCs/>
          <w:sz w:val="22"/>
          <w:szCs w:val="16"/>
        </w:rPr>
      </w:pPr>
      <w:hyperlink r:id="rId7" w:history="1">
        <w:r w:rsidR="009944A5" w:rsidRPr="009944A5">
          <w:rPr>
            <w:rStyle w:val="Lienhypertexte"/>
            <w:i/>
            <w:iCs/>
            <w:sz w:val="22"/>
            <w:szCs w:val="16"/>
          </w:rPr>
          <w:t>http://docnum.univ-lorraine.fr/public/BUMED_T_2014_MORIN_SAMUEL.pdf</w:t>
        </w:r>
      </w:hyperlink>
    </w:p>
    <w:p w14:paraId="4B9AC787" w14:textId="77777777" w:rsidR="00250807" w:rsidRDefault="00250807">
      <w:pPr>
        <w:rPr>
          <w:b w:val="0"/>
        </w:rPr>
      </w:pPr>
    </w:p>
    <w:p w14:paraId="0BE561AF" w14:textId="7F3EB027" w:rsidR="00250807" w:rsidRDefault="00ED1408">
      <w:pPr>
        <w:rPr>
          <w:b w:val="0"/>
        </w:rPr>
      </w:pPr>
      <w:r>
        <w:rPr>
          <w:b w:val="0"/>
          <w:noProof/>
        </w:rPr>
        <w:drawing>
          <wp:inline distT="0" distB="0" distL="0" distR="0" wp14:anchorId="13E3B52B" wp14:editId="63EFBD51">
            <wp:extent cx="4333875" cy="41433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C2F9" w14:textId="16C45484" w:rsidR="00DF28D3" w:rsidRDefault="00A57591">
      <w:pPr>
        <w:rPr>
          <w:b w:val="0"/>
        </w:rPr>
      </w:pPr>
      <w:r>
        <w:rPr>
          <w:b w:val="0"/>
        </w:rPr>
        <w:lastRenderedPageBreak/>
        <w:t>Annexe 2</w:t>
      </w:r>
    </w:p>
    <w:p w14:paraId="04EAFAB6" w14:textId="66346BF9" w:rsidR="00A57591" w:rsidRDefault="00A57591">
      <w:pPr>
        <w:rPr>
          <w:b w:val="0"/>
        </w:rPr>
      </w:pPr>
    </w:p>
    <w:p w14:paraId="041F1942" w14:textId="3818BEBC" w:rsidR="00A57591" w:rsidRDefault="00A57591">
      <w:pPr>
        <w:rPr>
          <w:b w:val="0"/>
        </w:rPr>
      </w:pPr>
      <w:r w:rsidRPr="00DF28D3">
        <w:rPr>
          <w:noProof/>
        </w:rPr>
        <w:drawing>
          <wp:inline distT="0" distB="0" distL="0" distR="0" wp14:anchorId="285A1042" wp14:editId="7B87DC33">
            <wp:extent cx="6052820" cy="46101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10" cy="461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977C" w14:textId="41711561" w:rsidR="00A57591" w:rsidRDefault="00A57591">
      <w:pPr>
        <w:rPr>
          <w:b w:val="0"/>
        </w:rPr>
      </w:pPr>
      <w:r w:rsidRPr="00A57591">
        <w:rPr>
          <w:b w:val="0"/>
          <w:noProof/>
        </w:rPr>
        <w:lastRenderedPageBreak/>
        <w:drawing>
          <wp:inline distT="0" distB="0" distL="0" distR="0" wp14:anchorId="407E9013" wp14:editId="00719170">
            <wp:extent cx="5534025" cy="1026999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16" cy="1029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7167" w14:textId="77777777" w:rsidR="00A57591" w:rsidRDefault="00A57591">
      <w:pPr>
        <w:rPr>
          <w:b w:val="0"/>
        </w:rPr>
      </w:pPr>
    </w:p>
    <w:p w14:paraId="2B2C4BD3" w14:textId="2A4DF0F9" w:rsidR="009944A5" w:rsidRDefault="009944A5">
      <w:pPr>
        <w:rPr>
          <w:b w:val="0"/>
        </w:rPr>
      </w:pPr>
    </w:p>
    <w:p w14:paraId="0B2245EB" w14:textId="26D45708" w:rsidR="00A57591" w:rsidRDefault="00A57591">
      <w:pPr>
        <w:rPr>
          <w:b w:val="0"/>
        </w:rPr>
      </w:pPr>
      <w:r w:rsidRPr="00A57591">
        <w:rPr>
          <w:b w:val="0"/>
          <w:noProof/>
        </w:rPr>
        <w:drawing>
          <wp:inline distT="0" distB="0" distL="0" distR="0" wp14:anchorId="7148A284" wp14:editId="646EF33A">
            <wp:extent cx="5172075" cy="5574767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26" cy="558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AE1A9" w14:textId="0227243E" w:rsidR="009944A5" w:rsidRDefault="009944A5">
      <w:pPr>
        <w:rPr>
          <w:b w:val="0"/>
        </w:rPr>
      </w:pPr>
      <w:r>
        <w:rPr>
          <w:b w:val="0"/>
        </w:rPr>
        <w:t xml:space="preserve">Annexe </w:t>
      </w:r>
      <w:r w:rsidR="00A57591">
        <w:rPr>
          <w:b w:val="0"/>
        </w:rPr>
        <w:t>3</w:t>
      </w:r>
    </w:p>
    <w:p w14:paraId="4D50770A" w14:textId="32342D8D" w:rsidR="00DF28D3" w:rsidRDefault="00DF28D3"/>
    <w:sectPr w:rsidR="00DF28D3">
      <w:footerReference w:type="default" r:id="rId12"/>
      <w:pgSz w:w="11906" w:h="16838"/>
      <w:pgMar w:top="709" w:right="1417" w:bottom="1417" w:left="1417" w:header="720" w:footer="708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98A7" w14:textId="77777777" w:rsidR="00C60BA2" w:rsidRDefault="00C60BA2">
      <w:r>
        <w:separator/>
      </w:r>
    </w:p>
  </w:endnote>
  <w:endnote w:type="continuationSeparator" w:id="0">
    <w:p w14:paraId="09248156" w14:textId="77777777" w:rsidR="00C60BA2" w:rsidRDefault="00C6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DAC8" w14:textId="77777777" w:rsidR="0035527E" w:rsidRDefault="0035527E">
    <w:pPr>
      <w:pStyle w:val="Pieddepage"/>
      <w:pBdr>
        <w:top w:val="single" w:sz="4" w:space="1" w:color="000000"/>
      </w:pBdr>
      <w:tabs>
        <w:tab w:val="clear" w:pos="4536"/>
      </w:tabs>
    </w:pPr>
    <w:r>
      <w:rPr>
        <w:b w:val="0"/>
        <w:sz w:val="24"/>
        <w:szCs w:val="24"/>
      </w:rPr>
      <w:t>www.amicalecaneum.fr</w:t>
    </w:r>
    <w:r>
      <w:rPr>
        <w:b w:val="0"/>
        <w:sz w:val="24"/>
        <w:szCs w:val="24"/>
      </w:rPr>
      <w:tab/>
      <w:t xml:space="preserve">Page </w:t>
    </w:r>
    <w:r>
      <w:rPr>
        <w:b w:val="0"/>
        <w:sz w:val="24"/>
        <w:szCs w:val="24"/>
      </w:rPr>
      <w:fldChar w:fldCharType="begin"/>
    </w:r>
    <w:r>
      <w:rPr>
        <w:b w:val="0"/>
        <w:sz w:val="24"/>
        <w:szCs w:val="24"/>
      </w:rPr>
      <w:instrText xml:space="preserve"> PAGE </w:instrText>
    </w:r>
    <w:r>
      <w:rPr>
        <w:b w:val="0"/>
        <w:sz w:val="24"/>
        <w:szCs w:val="24"/>
      </w:rPr>
      <w:fldChar w:fldCharType="separate"/>
    </w:r>
    <w:r w:rsidR="00217915">
      <w:rPr>
        <w:b w:val="0"/>
        <w:noProof/>
        <w:sz w:val="24"/>
        <w:szCs w:val="24"/>
      </w:rPr>
      <w:t>3</w:t>
    </w:r>
    <w:r>
      <w:rPr>
        <w:b w:val="0"/>
        <w:sz w:val="24"/>
        <w:szCs w:val="24"/>
      </w:rPr>
      <w:fldChar w:fldCharType="end"/>
    </w:r>
  </w:p>
  <w:p w14:paraId="0D3EE986" w14:textId="77777777" w:rsidR="0035527E" w:rsidRDefault="003552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CAB68" w14:textId="77777777" w:rsidR="00C60BA2" w:rsidRDefault="00C60BA2">
      <w:r>
        <w:separator/>
      </w:r>
    </w:p>
  </w:footnote>
  <w:footnote w:type="continuationSeparator" w:id="0">
    <w:p w14:paraId="7E6CB0B9" w14:textId="77777777" w:rsidR="00C60BA2" w:rsidRDefault="00C6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pStyle w:val="SousTitr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Tresgrandepartie"/>
      <w:lvlText w:val="%1."/>
      <w:lvlJc w:val="left"/>
      <w:pPr>
        <w:tabs>
          <w:tab w:val="num" w:pos="0"/>
        </w:tabs>
        <w:ind w:left="900" w:hanging="360"/>
      </w:pPr>
      <w:rPr>
        <w:sz w:val="4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pStyle w:val="TITREPARTIE"/>
      <w:lvlText w:val="%1."/>
      <w:lvlJc w:val="right"/>
      <w:pPr>
        <w:tabs>
          <w:tab w:val="num" w:pos="0"/>
        </w:tabs>
        <w:ind w:left="720" w:hanging="180"/>
      </w:pPr>
      <w:rPr>
        <w:sz w:val="3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97"/>
    <w:rsid w:val="0000632B"/>
    <w:rsid w:val="000212DA"/>
    <w:rsid w:val="0004754E"/>
    <w:rsid w:val="00061B3F"/>
    <w:rsid w:val="000D0585"/>
    <w:rsid w:val="000D61B6"/>
    <w:rsid w:val="000D7ED4"/>
    <w:rsid w:val="00177192"/>
    <w:rsid w:val="00194B11"/>
    <w:rsid w:val="001A2DE9"/>
    <w:rsid w:val="001E495A"/>
    <w:rsid w:val="0021363F"/>
    <w:rsid w:val="00217915"/>
    <w:rsid w:val="00220069"/>
    <w:rsid w:val="00250500"/>
    <w:rsid w:val="00250807"/>
    <w:rsid w:val="00274D20"/>
    <w:rsid w:val="002835C8"/>
    <w:rsid w:val="002C2C69"/>
    <w:rsid w:val="00312E17"/>
    <w:rsid w:val="0034013D"/>
    <w:rsid w:val="0034777C"/>
    <w:rsid w:val="0035527E"/>
    <w:rsid w:val="003564D7"/>
    <w:rsid w:val="003B768F"/>
    <w:rsid w:val="00415EB6"/>
    <w:rsid w:val="004657E3"/>
    <w:rsid w:val="00475A80"/>
    <w:rsid w:val="00493E8F"/>
    <w:rsid w:val="004B02E7"/>
    <w:rsid w:val="004C4731"/>
    <w:rsid w:val="004D4C4A"/>
    <w:rsid w:val="004F0097"/>
    <w:rsid w:val="004F34AA"/>
    <w:rsid w:val="00516A43"/>
    <w:rsid w:val="005B5C4D"/>
    <w:rsid w:val="005C5A10"/>
    <w:rsid w:val="00620F4F"/>
    <w:rsid w:val="00625693"/>
    <w:rsid w:val="006272F7"/>
    <w:rsid w:val="00645272"/>
    <w:rsid w:val="00647972"/>
    <w:rsid w:val="00670B85"/>
    <w:rsid w:val="006717FE"/>
    <w:rsid w:val="006A27A5"/>
    <w:rsid w:val="00705963"/>
    <w:rsid w:val="00775B8E"/>
    <w:rsid w:val="00776A8C"/>
    <w:rsid w:val="00781CB0"/>
    <w:rsid w:val="00795F6F"/>
    <w:rsid w:val="008208C0"/>
    <w:rsid w:val="00847AFD"/>
    <w:rsid w:val="008641BC"/>
    <w:rsid w:val="0086460E"/>
    <w:rsid w:val="008907E8"/>
    <w:rsid w:val="008D64D5"/>
    <w:rsid w:val="008E6F8D"/>
    <w:rsid w:val="009159A3"/>
    <w:rsid w:val="00930C92"/>
    <w:rsid w:val="0095006E"/>
    <w:rsid w:val="00960F29"/>
    <w:rsid w:val="009944A5"/>
    <w:rsid w:val="009E3B1A"/>
    <w:rsid w:val="009E7A47"/>
    <w:rsid w:val="00A0118F"/>
    <w:rsid w:val="00A16E48"/>
    <w:rsid w:val="00A335BD"/>
    <w:rsid w:val="00A57591"/>
    <w:rsid w:val="00A77C5A"/>
    <w:rsid w:val="00A819F6"/>
    <w:rsid w:val="00AB5527"/>
    <w:rsid w:val="00AE0BFF"/>
    <w:rsid w:val="00B345B8"/>
    <w:rsid w:val="00B74B1B"/>
    <w:rsid w:val="00B9769A"/>
    <w:rsid w:val="00B97F9E"/>
    <w:rsid w:val="00BB4B09"/>
    <w:rsid w:val="00BB5B38"/>
    <w:rsid w:val="00BD0993"/>
    <w:rsid w:val="00C55196"/>
    <w:rsid w:val="00C60BA2"/>
    <w:rsid w:val="00CB030F"/>
    <w:rsid w:val="00CC093F"/>
    <w:rsid w:val="00CE5DB9"/>
    <w:rsid w:val="00CF598E"/>
    <w:rsid w:val="00D117AA"/>
    <w:rsid w:val="00D17391"/>
    <w:rsid w:val="00D91B54"/>
    <w:rsid w:val="00D95B21"/>
    <w:rsid w:val="00DD13C8"/>
    <w:rsid w:val="00DF28D3"/>
    <w:rsid w:val="00DF5294"/>
    <w:rsid w:val="00E20C3D"/>
    <w:rsid w:val="00E24529"/>
    <w:rsid w:val="00E31F71"/>
    <w:rsid w:val="00E420ED"/>
    <w:rsid w:val="00E949A3"/>
    <w:rsid w:val="00EA2C18"/>
    <w:rsid w:val="00EB7C81"/>
    <w:rsid w:val="00EC2B0C"/>
    <w:rsid w:val="00ED1408"/>
    <w:rsid w:val="00ED59F8"/>
    <w:rsid w:val="00EF4F6D"/>
    <w:rsid w:val="00F0171E"/>
    <w:rsid w:val="00F40973"/>
    <w:rsid w:val="00F47604"/>
    <w:rsid w:val="00F7709A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7368B"/>
  <w15:chartTrackingRefBased/>
  <w15:docId w15:val="{0A8B29F3-4E5F-4EC6-9240-B3B81910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3119"/>
        <w:tab w:val="left" w:pos="5387"/>
        <w:tab w:val="left" w:pos="7088"/>
      </w:tabs>
      <w:suppressAutoHyphens/>
      <w:overflowPunct w:val="0"/>
      <w:autoSpaceDE w:val="0"/>
      <w:textAlignment w:val="baseline"/>
    </w:pPr>
    <w:rPr>
      <w:b/>
      <w:sz w:val="28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240" w:after="80"/>
      <w:outlineLvl w:val="1"/>
    </w:pPr>
    <w:rPr>
      <w:smallCaps/>
      <w:spacing w:val="5"/>
      <w:szCs w:val="28"/>
    </w:r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00"/>
      <w:outlineLvl w:val="4"/>
    </w:pPr>
    <w:rPr>
      <w:smallCaps/>
      <w:color w:val="858585"/>
      <w:spacing w:val="10"/>
      <w:sz w:val="22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smallCaps/>
      <w:color w:val="B2B2B2"/>
      <w:spacing w:val="5"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smallCaps/>
      <w:color w:val="B2B2B2"/>
      <w:spacing w:val="1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i/>
      <w:smallCaps/>
      <w:color w:val="858585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i/>
      <w:smallCaps/>
      <w:color w:val="58585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4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3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Titre1Car">
    <w:name w:val="Titre 1 Car"/>
    <w:rPr>
      <w:smallCaps/>
      <w:spacing w:val="5"/>
      <w:sz w:val="32"/>
      <w:szCs w:val="32"/>
    </w:rPr>
  </w:style>
  <w:style w:type="character" w:customStyle="1" w:styleId="Titre2Car">
    <w:name w:val="Titre 2 Car"/>
    <w:rPr>
      <w:smallCaps/>
      <w:spacing w:val="5"/>
      <w:sz w:val="28"/>
      <w:szCs w:val="28"/>
    </w:rPr>
  </w:style>
  <w:style w:type="character" w:customStyle="1" w:styleId="Titre3Car">
    <w:name w:val="Titre 3 Car"/>
    <w:rPr>
      <w:smallCaps/>
      <w:spacing w:val="5"/>
      <w:sz w:val="24"/>
      <w:szCs w:val="24"/>
    </w:rPr>
  </w:style>
  <w:style w:type="character" w:customStyle="1" w:styleId="Titre4Car">
    <w:name w:val="Titre 4 Car"/>
    <w:rPr>
      <w:smallCaps/>
      <w:spacing w:val="10"/>
      <w:sz w:val="22"/>
      <w:szCs w:val="22"/>
    </w:rPr>
  </w:style>
  <w:style w:type="character" w:customStyle="1" w:styleId="Titre5Car">
    <w:name w:val="Titre 5 Car"/>
    <w:rPr>
      <w:smallCaps/>
      <w:color w:val="858585"/>
      <w:spacing w:val="10"/>
      <w:sz w:val="22"/>
      <w:szCs w:val="26"/>
    </w:rPr>
  </w:style>
  <w:style w:type="character" w:customStyle="1" w:styleId="Titre6Car">
    <w:name w:val="Titre 6 Car"/>
    <w:rPr>
      <w:smallCaps/>
      <w:color w:val="B2B2B2"/>
      <w:spacing w:val="5"/>
      <w:sz w:val="22"/>
    </w:rPr>
  </w:style>
  <w:style w:type="character" w:customStyle="1" w:styleId="Titre7Car">
    <w:name w:val="Titre 7 Car"/>
    <w:rPr>
      <w:b/>
      <w:smallCaps/>
      <w:color w:val="B2B2B2"/>
      <w:spacing w:val="10"/>
    </w:rPr>
  </w:style>
  <w:style w:type="character" w:customStyle="1" w:styleId="Titre8Car">
    <w:name w:val="Titre 8 Car"/>
    <w:rPr>
      <w:b/>
      <w:i/>
      <w:smallCaps/>
      <w:color w:val="858585"/>
    </w:rPr>
  </w:style>
  <w:style w:type="character" w:customStyle="1" w:styleId="Titre9Car">
    <w:name w:val="Titre 9 Car"/>
    <w:rPr>
      <w:b/>
      <w:i/>
      <w:smallCaps/>
      <w:color w:val="585858"/>
    </w:rPr>
  </w:style>
  <w:style w:type="character" w:customStyle="1" w:styleId="TitreCar">
    <w:name w:val="Titre Car"/>
    <w:rPr>
      <w:smallCaps/>
      <w:sz w:val="48"/>
      <w:szCs w:val="48"/>
    </w:rPr>
  </w:style>
  <w:style w:type="character" w:customStyle="1" w:styleId="Sous-titreCar">
    <w:name w:val="Sous-titre Car"/>
    <w:rPr>
      <w:rFonts w:ascii="Corbel" w:eastAsia="Times New Roman" w:hAnsi="Corbel" w:cs="Times New Roman"/>
      <w:szCs w:val="22"/>
    </w:rPr>
  </w:style>
  <w:style w:type="character" w:styleId="lev">
    <w:name w:val="Strong"/>
    <w:qFormat/>
    <w:rPr>
      <w:b/>
      <w:color w:val="B2B2B2"/>
    </w:rPr>
  </w:style>
  <w:style w:type="character" w:styleId="Accentuation">
    <w:name w:val="Emphasis"/>
    <w:qFormat/>
    <w:rPr>
      <w:b/>
      <w:i/>
      <w:spacing w:val="10"/>
    </w:rPr>
  </w:style>
  <w:style w:type="character" w:customStyle="1" w:styleId="SansinterligneCar">
    <w:name w:val="Sans interligne Car"/>
    <w:basedOn w:val="Policepardfaut1"/>
  </w:style>
  <w:style w:type="character" w:customStyle="1" w:styleId="CitationCar">
    <w:name w:val="Citation Car"/>
    <w:rPr>
      <w:i/>
    </w:rPr>
  </w:style>
  <w:style w:type="character" w:customStyle="1" w:styleId="CitationintenseCar">
    <w:name w:val="Citation intense Car"/>
    <w:rPr>
      <w:b/>
      <w:i/>
      <w:color w:val="FFFFFF"/>
      <w:shd w:val="clear" w:color="auto" w:fill="B2B2B2"/>
    </w:rPr>
  </w:style>
  <w:style w:type="character" w:customStyle="1" w:styleId="Emphaseple">
    <w:name w:val="Emphase pâle"/>
    <w:rPr>
      <w:i/>
    </w:rPr>
  </w:style>
  <w:style w:type="character" w:customStyle="1" w:styleId="Emphaseintense">
    <w:name w:val="Emphase intense"/>
    <w:rPr>
      <w:b/>
      <w:i/>
      <w:color w:val="B2B2B2"/>
      <w:spacing w:val="10"/>
    </w:rPr>
  </w:style>
  <w:style w:type="character" w:customStyle="1" w:styleId="Rfrenceple">
    <w:name w:val="Référence pâle"/>
    <w:rPr>
      <w:b/>
    </w:rPr>
  </w:style>
  <w:style w:type="character" w:styleId="Rfrenceintense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qFormat/>
    <w:rPr>
      <w:rFonts w:ascii="Corbel" w:eastAsia="Times New Roman" w:hAnsi="Corbel" w:cs="Times New Roman"/>
      <w:i/>
      <w:iCs/>
      <w:sz w:val="20"/>
      <w:szCs w:val="20"/>
    </w:rPr>
  </w:style>
  <w:style w:type="character" w:customStyle="1" w:styleId="En-tteCar">
    <w:name w:val="En-tête Car"/>
    <w:rPr>
      <w:rFonts w:ascii="Times New Roman" w:eastAsia="Times New Roman" w:hAnsi="Times New Roman" w:cs="Times New Roman"/>
      <w:b/>
      <w:sz w:val="28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b/>
      <w:sz w:val="28"/>
    </w:rPr>
  </w:style>
  <w:style w:type="character" w:customStyle="1" w:styleId="TextedebullesCar">
    <w:name w:val="Texte de bulles Car"/>
    <w:rPr>
      <w:rFonts w:ascii="Tahoma" w:eastAsia="Times New Roman" w:hAnsi="Tahoma" w:cs="Tahoma"/>
      <w:b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next w:val="Normal"/>
    <w:rPr>
      <w:bCs/>
      <w:caps/>
      <w:sz w:val="16"/>
      <w:szCs w:val="18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Normal"/>
    <w:qFormat/>
    <w:pPr>
      <w:jc w:val="right"/>
    </w:pPr>
    <w:rPr>
      <w:smallCaps/>
      <w:sz w:val="48"/>
      <w:szCs w:val="48"/>
    </w:rPr>
  </w:style>
  <w:style w:type="paragraph" w:styleId="Sous-titre">
    <w:name w:val="Subtitle"/>
    <w:basedOn w:val="Normal"/>
    <w:next w:val="Normal"/>
    <w:qFormat/>
    <w:pPr>
      <w:spacing w:after="720"/>
      <w:jc w:val="right"/>
    </w:pPr>
    <w:rPr>
      <w:rFonts w:ascii="Corbel" w:hAnsi="Corbel"/>
      <w:szCs w:val="22"/>
    </w:rPr>
  </w:style>
  <w:style w:type="paragraph" w:styleId="Sansinterligne">
    <w:name w:val="No Spacing"/>
    <w:basedOn w:val="Normal"/>
    <w:qFormat/>
  </w:style>
  <w:style w:type="paragraph" w:styleId="Paragraphedeliste">
    <w:name w:val="List Paragraph"/>
    <w:basedOn w:val="Normal"/>
    <w:qFormat/>
    <w:pPr>
      <w:ind w:left="720"/>
    </w:pPr>
  </w:style>
  <w:style w:type="paragraph" w:styleId="Citation">
    <w:name w:val="Quote"/>
    <w:basedOn w:val="Normal"/>
    <w:next w:val="Normal"/>
    <w:qFormat/>
    <w:rPr>
      <w:i/>
    </w:rPr>
  </w:style>
  <w:style w:type="paragraph" w:styleId="Citationintense">
    <w:name w:val="Intense Quote"/>
    <w:basedOn w:val="Normal"/>
    <w:next w:val="Normal"/>
    <w:qFormat/>
    <w:pPr>
      <w:shd w:val="clear" w:color="auto" w:fill="B2B2B2"/>
      <w:spacing w:before="140" w:after="140"/>
      <w:ind w:left="1440" w:right="1440"/>
    </w:pPr>
    <w:rPr>
      <w:i/>
      <w:color w:val="FFFFFF"/>
    </w:rPr>
  </w:style>
  <w:style w:type="paragraph" w:styleId="En-ttedetabledesmatires">
    <w:name w:val="TOC Heading"/>
    <w:basedOn w:val="Titre1"/>
    <w:next w:val="Normal"/>
    <w:qFormat/>
    <w:pPr>
      <w:numPr>
        <w:numId w:val="0"/>
      </w:numPr>
    </w:pPr>
  </w:style>
  <w:style w:type="paragraph" w:customStyle="1" w:styleId="GRANDTITRE">
    <w:name w:val="GRAND TITRE"/>
    <w:basedOn w:val="Titre4"/>
    <w:pPr>
      <w:numPr>
        <w:ilvl w:val="0"/>
        <w:numId w:val="0"/>
      </w:numPr>
      <w:spacing w:before="120"/>
      <w:jc w:val="center"/>
    </w:pPr>
    <w:rPr>
      <w:rFonts w:eastAsia="Calibri"/>
      <w:sz w:val="52"/>
    </w:rPr>
  </w:style>
  <w:style w:type="paragraph" w:customStyle="1" w:styleId="TITREPARTIE">
    <w:name w:val="TITRE PARTIE"/>
    <w:basedOn w:val="Normal"/>
    <w:pPr>
      <w:numPr>
        <w:numId w:val="4"/>
      </w:numPr>
      <w:spacing w:line="360" w:lineRule="auto"/>
    </w:pPr>
    <w:rPr>
      <w:rFonts w:eastAsia="Calibri"/>
      <w:color w:val="000000"/>
      <w:sz w:val="36"/>
      <w:szCs w:val="24"/>
      <w:u w:val="single"/>
    </w:rPr>
  </w:style>
  <w:style w:type="paragraph" w:customStyle="1" w:styleId="SousTitre">
    <w:name w:val="Sous Titre"/>
    <w:basedOn w:val="Normal"/>
    <w:pPr>
      <w:numPr>
        <w:numId w:val="2"/>
      </w:numPr>
      <w:spacing w:before="120" w:line="360" w:lineRule="auto"/>
    </w:pPr>
    <w:rPr>
      <w:i/>
      <w:color w:val="000000"/>
      <w:szCs w:val="24"/>
      <w:u w:val="single"/>
    </w:rPr>
  </w:style>
  <w:style w:type="paragraph" w:customStyle="1" w:styleId="TEXTE">
    <w:name w:val="TEXTE"/>
    <w:basedOn w:val="Normal"/>
    <w:pPr>
      <w:spacing w:line="360" w:lineRule="auto"/>
    </w:pPr>
    <w:rPr>
      <w:rFonts w:cs="Times"/>
      <w:color w:val="000000"/>
      <w:sz w:val="24"/>
      <w:szCs w:val="24"/>
    </w:rPr>
  </w:style>
  <w:style w:type="paragraph" w:customStyle="1" w:styleId="TITREGRANDEPARTIE">
    <w:name w:val="TITRE GRANDE PARTIE"/>
    <w:basedOn w:val="TITREPARTIE"/>
    <w:pPr>
      <w:numPr>
        <w:numId w:val="0"/>
      </w:numPr>
    </w:pPr>
    <w:rPr>
      <w:sz w:val="40"/>
    </w:rPr>
  </w:style>
  <w:style w:type="paragraph" w:customStyle="1" w:styleId="Tresgrandepartie">
    <w:name w:val="Tres grande partie"/>
    <w:basedOn w:val="TITREGRANDEPARTIE"/>
    <w:pPr>
      <w:numPr>
        <w:numId w:val="3"/>
      </w:numPr>
    </w:pPr>
    <w:rPr>
      <w:sz w:val="44"/>
    </w:rPr>
  </w:style>
  <w:style w:type="paragraph" w:styleId="En-tte">
    <w:name w:val="header"/>
    <w:basedOn w:val="Normal"/>
    <w:pPr>
      <w:tabs>
        <w:tab w:val="clear" w:pos="3119"/>
        <w:tab w:val="clear" w:pos="5387"/>
        <w:tab w:val="clear" w:pos="7088"/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lear" w:pos="3119"/>
        <w:tab w:val="clear" w:pos="5387"/>
        <w:tab w:val="clear" w:pos="7088"/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Cs/>
    </w:rPr>
  </w:style>
  <w:style w:type="table" w:styleId="Grilledutableau">
    <w:name w:val="Table Grid"/>
    <w:basedOn w:val="TableauNormal"/>
    <w:uiPriority w:val="39"/>
    <w:rsid w:val="0025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8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semiHidden/>
    <w:unhideWhenUsed/>
    <w:rsid w:val="00994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num.univ-lorraine.fr/public/BUMED_T_2014_MORIN_SAMUEL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1250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Links>
    <vt:vector size="6" baseType="variant"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http://docnum.univ-lorraine.fr/public/BUMED_T_2014_MORIN_SAMUEL.pdf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cp:lastModifiedBy>Frederic BONFILS</cp:lastModifiedBy>
  <cp:revision>4</cp:revision>
  <cp:lastPrinted>2020-04-20T16:28:00Z</cp:lastPrinted>
  <dcterms:created xsi:type="dcterms:W3CDTF">2020-05-19T14:30:00Z</dcterms:created>
  <dcterms:modified xsi:type="dcterms:W3CDTF">2020-05-23T09:06:00Z</dcterms:modified>
</cp:coreProperties>
</file>